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35"/>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041"/>
        <w:gridCol w:w="6814"/>
      </w:tblGrid>
      <w:tr w:rsidR="000E0E85" w:rsidRPr="007C392B" w14:paraId="5E6A2488" w14:textId="77777777" w:rsidTr="007950D5">
        <w:tc>
          <w:tcPr>
            <w:tcW w:w="5000" w:type="pct"/>
            <w:gridSpan w:val="2"/>
            <w:shd w:val="clear" w:color="auto" w:fill="FFFFFF" w:themeFill="background1"/>
          </w:tcPr>
          <w:p w14:paraId="6571EBA6" w14:textId="07C5A8EC" w:rsidR="000E0E85" w:rsidRPr="006E25FF" w:rsidRDefault="005F31D5" w:rsidP="007950D5">
            <w:pPr>
              <w:pStyle w:val="ScheduleheadingMillnet"/>
              <w:numPr>
                <w:ilvl w:val="1"/>
                <w:numId w:val="2"/>
              </w:numPr>
              <w:spacing w:before="240"/>
              <w:jc w:val="left"/>
              <w:rPr>
                <w:color w:val="auto"/>
              </w:rPr>
            </w:pPr>
            <w:bookmarkStart w:id="0" w:name="_Toc484593635"/>
            <w:r w:rsidRPr="005F31D5">
              <w:rPr>
                <w:color w:val="auto"/>
              </w:rPr>
              <w:t>Modern Slavery</w:t>
            </w:r>
            <w:r w:rsidR="000E0E85" w:rsidRPr="006E25FF">
              <w:rPr>
                <w:color w:val="auto"/>
              </w:rPr>
              <w:t xml:space="preserve"> Policy</w:t>
            </w:r>
            <w:bookmarkEnd w:id="0"/>
          </w:p>
        </w:tc>
      </w:tr>
      <w:tr w:rsidR="000E0E85" w:rsidRPr="00036CDC" w14:paraId="392B8435" w14:textId="77777777" w:rsidTr="007950D5">
        <w:tc>
          <w:tcPr>
            <w:tcW w:w="1543" w:type="pct"/>
          </w:tcPr>
          <w:p w14:paraId="03B098FF" w14:textId="5980EA3F" w:rsidR="000E0E85" w:rsidRPr="008E0DA4" w:rsidRDefault="007950D5" w:rsidP="007950D5">
            <w:pPr>
              <w:rPr>
                <w:rFonts w:ascii="Calibri" w:eastAsiaTheme="minorEastAsia" w:hAnsi="Calibri"/>
                <w:b/>
                <w:sz w:val="24"/>
                <w:lang w:val="en-US" w:eastAsia="ja-JP"/>
              </w:rPr>
            </w:pPr>
            <w:r>
              <w:rPr>
                <w:rFonts w:ascii="Calibri" w:eastAsiaTheme="minorEastAsia" w:hAnsi="Calibri"/>
                <w:b/>
                <w:sz w:val="24"/>
                <w:lang w:val="en-US" w:eastAsia="ja-JP"/>
              </w:rPr>
              <w:t>Date</w:t>
            </w:r>
          </w:p>
        </w:tc>
        <w:tc>
          <w:tcPr>
            <w:tcW w:w="3457" w:type="pct"/>
          </w:tcPr>
          <w:p w14:paraId="28EA221D" w14:textId="7227F7E5" w:rsidR="000E0E85" w:rsidRPr="008E0DA4" w:rsidRDefault="007950D5" w:rsidP="007950D5">
            <w:pPr>
              <w:rPr>
                <w:rFonts w:ascii="Calibri" w:eastAsiaTheme="minorEastAsia" w:hAnsi="Calibri"/>
                <w:sz w:val="24"/>
                <w:lang w:val="en-US" w:eastAsia="ja-JP"/>
              </w:rPr>
            </w:pPr>
            <w:r>
              <w:rPr>
                <w:rFonts w:ascii="Calibri" w:eastAsiaTheme="minorEastAsia" w:hAnsi="Calibri"/>
                <w:sz w:val="24"/>
                <w:lang w:val="en-US" w:eastAsia="ja-JP"/>
              </w:rPr>
              <w:t>December 2018</w:t>
            </w:r>
          </w:p>
        </w:tc>
      </w:tr>
      <w:tr w:rsidR="000E0E85" w:rsidRPr="00036CDC" w14:paraId="4553D360" w14:textId="77777777" w:rsidTr="007950D5">
        <w:tc>
          <w:tcPr>
            <w:tcW w:w="1543" w:type="pct"/>
          </w:tcPr>
          <w:p w14:paraId="557BBEA4" w14:textId="4B0B7C32" w:rsidR="000E0E85" w:rsidRPr="006B7D46" w:rsidRDefault="007950D5" w:rsidP="007950D5">
            <w:pPr>
              <w:rPr>
                <w:rFonts w:ascii="Calibri" w:hAnsi="Calibri"/>
                <w:b/>
                <w:sz w:val="20"/>
                <w:szCs w:val="20"/>
              </w:rPr>
            </w:pPr>
            <w:r>
              <w:rPr>
                <w:rFonts w:ascii="Calibri" w:eastAsiaTheme="minorEastAsia" w:hAnsi="Calibri"/>
                <w:b/>
                <w:sz w:val="24"/>
                <w:lang w:val="en-US" w:eastAsia="ja-JP"/>
              </w:rPr>
              <w:t>Review</w:t>
            </w:r>
          </w:p>
        </w:tc>
        <w:tc>
          <w:tcPr>
            <w:tcW w:w="3457" w:type="pct"/>
          </w:tcPr>
          <w:p w14:paraId="074D8E2C" w14:textId="51F55DD6" w:rsidR="000E0E85" w:rsidRPr="006B7D46" w:rsidRDefault="007950D5" w:rsidP="007950D5">
            <w:pPr>
              <w:rPr>
                <w:rFonts w:ascii="Calibri" w:hAnsi="Calibri"/>
              </w:rPr>
            </w:pPr>
            <w:r>
              <w:rPr>
                <w:rFonts w:ascii="Calibri" w:eastAsiaTheme="minorEastAsia" w:hAnsi="Calibri"/>
                <w:sz w:val="24"/>
                <w:lang w:val="en-US" w:eastAsia="ja-JP"/>
              </w:rPr>
              <w:t xml:space="preserve">This policy will be reviewed periodically. </w:t>
            </w:r>
          </w:p>
        </w:tc>
      </w:tr>
      <w:tr w:rsidR="000E0E85" w:rsidRPr="00036CDC" w14:paraId="3B78ED14" w14:textId="77777777" w:rsidTr="007950D5">
        <w:tc>
          <w:tcPr>
            <w:tcW w:w="5000" w:type="pct"/>
            <w:gridSpan w:val="2"/>
          </w:tcPr>
          <w:p w14:paraId="3BE0D5DA" w14:textId="77777777" w:rsidR="000E0E85" w:rsidRPr="00036CDC" w:rsidRDefault="000E0E85" w:rsidP="007950D5">
            <w:pPr>
              <w:pStyle w:val="Bodycalibri11Millnet"/>
              <w:rPr>
                <w:szCs w:val="22"/>
              </w:rPr>
            </w:pPr>
          </w:p>
        </w:tc>
      </w:tr>
      <w:tr w:rsidR="000E0E85" w:rsidRPr="00036CDC" w14:paraId="7DE403B6" w14:textId="77777777" w:rsidTr="007950D5">
        <w:tc>
          <w:tcPr>
            <w:tcW w:w="5000" w:type="pct"/>
            <w:gridSpan w:val="2"/>
          </w:tcPr>
          <w:p w14:paraId="387D0135" w14:textId="77777777" w:rsidR="000E0E85" w:rsidRPr="00036CDC" w:rsidRDefault="000E0E85" w:rsidP="007950D5">
            <w:pPr>
              <w:pStyle w:val="Bodycalibri11Millnet"/>
              <w:rPr>
                <w:szCs w:val="22"/>
              </w:rPr>
            </w:pPr>
          </w:p>
          <w:p w14:paraId="2EA43249" w14:textId="77777777" w:rsidR="000E0E85" w:rsidRPr="00036CDC" w:rsidRDefault="000E0E85" w:rsidP="007950D5">
            <w:pPr>
              <w:pStyle w:val="Bodycalibri11Millnet"/>
              <w:rPr>
                <w:b/>
                <w:szCs w:val="22"/>
              </w:rPr>
            </w:pPr>
            <w:r w:rsidRPr="00036CDC">
              <w:rPr>
                <w:b/>
                <w:szCs w:val="22"/>
              </w:rPr>
              <w:t>Contents</w:t>
            </w:r>
          </w:p>
          <w:p w14:paraId="6C29E0CD" w14:textId="77777777" w:rsidR="000E0E85" w:rsidRPr="00036CDC" w:rsidRDefault="000E0E85" w:rsidP="007950D5">
            <w:pPr>
              <w:pStyle w:val="Bodycalibri11Millnet"/>
              <w:rPr>
                <w:szCs w:val="22"/>
              </w:rPr>
            </w:pPr>
          </w:p>
          <w:tbl>
            <w:tblPr>
              <w:tblStyle w:val="TableGrid"/>
              <w:tblW w:w="2478" w:type="pct"/>
              <w:tblLook w:val="04A0" w:firstRow="1" w:lastRow="0" w:firstColumn="1" w:lastColumn="0" w:noHBand="0" w:noVBand="1"/>
            </w:tblPr>
            <w:tblGrid>
              <w:gridCol w:w="547"/>
              <w:gridCol w:w="4225"/>
            </w:tblGrid>
            <w:tr w:rsidR="005F31D5" w:rsidRPr="00036CDC" w14:paraId="7538D7CC" w14:textId="77777777" w:rsidTr="005F31D5">
              <w:tc>
                <w:tcPr>
                  <w:tcW w:w="573" w:type="pct"/>
                </w:tcPr>
                <w:p w14:paraId="1DA200DA" w14:textId="014B7270" w:rsidR="005F31D5" w:rsidRPr="00036CDC" w:rsidRDefault="005F31D5" w:rsidP="00575D7C">
                  <w:pPr>
                    <w:pStyle w:val="Bodycalibri11Millnet"/>
                    <w:framePr w:hSpace="180" w:wrap="around" w:hAnchor="margin" w:y="435"/>
                    <w:rPr>
                      <w:szCs w:val="22"/>
                    </w:rPr>
                  </w:pPr>
                  <w:r w:rsidRPr="001D6109">
                    <w:t>1</w:t>
                  </w:r>
                </w:p>
              </w:tc>
              <w:tc>
                <w:tcPr>
                  <w:tcW w:w="4427" w:type="pct"/>
                </w:tcPr>
                <w:p w14:paraId="6B075FB8" w14:textId="1A2D4FB8" w:rsidR="005F31D5" w:rsidRPr="00036CDC" w:rsidRDefault="005F31D5" w:rsidP="00575D7C">
                  <w:pPr>
                    <w:pStyle w:val="Bodycalibri11Millnet"/>
                    <w:framePr w:hSpace="180" w:wrap="around" w:hAnchor="margin" w:y="435"/>
                    <w:rPr>
                      <w:szCs w:val="22"/>
                    </w:rPr>
                  </w:pPr>
                  <w:r w:rsidRPr="001D6109">
                    <w:t xml:space="preserve">Introduction and policy statement </w:t>
                  </w:r>
                </w:p>
              </w:tc>
            </w:tr>
            <w:tr w:rsidR="005F31D5" w:rsidRPr="00036CDC" w14:paraId="0BBB4FF9" w14:textId="77777777" w:rsidTr="005F31D5">
              <w:tc>
                <w:tcPr>
                  <w:tcW w:w="573" w:type="pct"/>
                </w:tcPr>
                <w:p w14:paraId="20BB944A" w14:textId="6685BF21" w:rsidR="005F31D5" w:rsidRPr="00036CDC" w:rsidRDefault="005F31D5" w:rsidP="00575D7C">
                  <w:pPr>
                    <w:pStyle w:val="Bodycalibri11Millnet"/>
                    <w:framePr w:hSpace="180" w:wrap="around" w:hAnchor="margin" w:y="435"/>
                    <w:rPr>
                      <w:szCs w:val="22"/>
                    </w:rPr>
                  </w:pPr>
                  <w:r w:rsidRPr="001D6109">
                    <w:t>2</w:t>
                  </w:r>
                </w:p>
              </w:tc>
              <w:tc>
                <w:tcPr>
                  <w:tcW w:w="4427" w:type="pct"/>
                </w:tcPr>
                <w:p w14:paraId="57349301" w14:textId="5635255F" w:rsidR="005F31D5" w:rsidRPr="00036CDC" w:rsidRDefault="005F31D5" w:rsidP="00575D7C">
                  <w:pPr>
                    <w:pStyle w:val="Bodycalibri11Millnet"/>
                    <w:framePr w:hSpace="180" w:wrap="around" w:hAnchor="margin" w:y="435"/>
                    <w:rPr>
                      <w:szCs w:val="22"/>
                    </w:rPr>
                  </w:pPr>
                  <w:r w:rsidRPr="001D6109">
                    <w:t xml:space="preserve">Application </w:t>
                  </w:r>
                </w:p>
              </w:tc>
            </w:tr>
            <w:tr w:rsidR="005F31D5" w:rsidRPr="00036CDC" w14:paraId="26B193E7" w14:textId="77777777" w:rsidTr="005F31D5">
              <w:tc>
                <w:tcPr>
                  <w:tcW w:w="573" w:type="pct"/>
                </w:tcPr>
                <w:p w14:paraId="2BF7B4B0" w14:textId="02290363" w:rsidR="005F31D5" w:rsidRPr="00036CDC" w:rsidRDefault="005F31D5" w:rsidP="00575D7C">
                  <w:pPr>
                    <w:pStyle w:val="Bodycalibri11Millnet"/>
                    <w:framePr w:hSpace="180" w:wrap="around" w:hAnchor="margin" w:y="435"/>
                    <w:rPr>
                      <w:szCs w:val="22"/>
                    </w:rPr>
                  </w:pPr>
                  <w:r w:rsidRPr="001D6109">
                    <w:t>3</w:t>
                  </w:r>
                </w:p>
              </w:tc>
              <w:tc>
                <w:tcPr>
                  <w:tcW w:w="4427" w:type="pct"/>
                </w:tcPr>
                <w:p w14:paraId="58DB8460" w14:textId="3F4C72D5" w:rsidR="005F31D5" w:rsidRPr="00036CDC" w:rsidRDefault="005F31D5" w:rsidP="00575D7C">
                  <w:pPr>
                    <w:pStyle w:val="Bodycalibri11Millnet"/>
                    <w:framePr w:hSpace="180" w:wrap="around" w:hAnchor="margin" w:y="435"/>
                    <w:rPr>
                      <w:szCs w:val="22"/>
                    </w:rPr>
                  </w:pPr>
                  <w:r w:rsidRPr="001D6109">
                    <w:t xml:space="preserve">The supply chain </w:t>
                  </w:r>
                </w:p>
              </w:tc>
            </w:tr>
            <w:tr w:rsidR="005F31D5" w:rsidRPr="00036CDC" w14:paraId="5E401EED" w14:textId="77777777" w:rsidTr="005F31D5">
              <w:tc>
                <w:tcPr>
                  <w:tcW w:w="573" w:type="pct"/>
                </w:tcPr>
                <w:p w14:paraId="0583BCD2" w14:textId="4EA42196" w:rsidR="005F31D5" w:rsidRPr="00036CDC" w:rsidRDefault="005F31D5" w:rsidP="00575D7C">
                  <w:pPr>
                    <w:pStyle w:val="Bodycalibri11Millnet"/>
                    <w:framePr w:hSpace="180" w:wrap="around" w:hAnchor="margin" w:y="435"/>
                    <w:rPr>
                      <w:szCs w:val="22"/>
                    </w:rPr>
                  </w:pPr>
                  <w:r w:rsidRPr="001D6109">
                    <w:t>4</w:t>
                  </w:r>
                </w:p>
              </w:tc>
              <w:tc>
                <w:tcPr>
                  <w:tcW w:w="4427" w:type="pct"/>
                </w:tcPr>
                <w:p w14:paraId="29EF64BC" w14:textId="41EC612B" w:rsidR="005F31D5" w:rsidRPr="00036CDC" w:rsidRDefault="005F31D5" w:rsidP="00575D7C">
                  <w:pPr>
                    <w:pStyle w:val="Bodycalibri11Millnet"/>
                    <w:framePr w:hSpace="180" w:wrap="around" w:hAnchor="margin" w:y="435"/>
                    <w:rPr>
                      <w:szCs w:val="22"/>
                    </w:rPr>
                  </w:pPr>
                  <w:r w:rsidRPr="001D6109">
                    <w:t>Employee terms and conditions</w:t>
                  </w:r>
                </w:p>
              </w:tc>
            </w:tr>
            <w:tr w:rsidR="005F31D5" w:rsidRPr="00036CDC" w14:paraId="0DAA760B" w14:textId="77777777" w:rsidTr="005F31D5">
              <w:tc>
                <w:tcPr>
                  <w:tcW w:w="573" w:type="pct"/>
                </w:tcPr>
                <w:p w14:paraId="5CEF41FD" w14:textId="73E5239F" w:rsidR="005F31D5" w:rsidRPr="00036CDC" w:rsidRDefault="005F31D5" w:rsidP="00575D7C">
                  <w:pPr>
                    <w:pStyle w:val="Bodycalibri11Millnet"/>
                    <w:framePr w:hSpace="180" w:wrap="around" w:hAnchor="margin" w:y="435"/>
                    <w:rPr>
                      <w:szCs w:val="22"/>
                    </w:rPr>
                  </w:pPr>
                  <w:r w:rsidRPr="001D6109">
                    <w:t>5</w:t>
                  </w:r>
                </w:p>
              </w:tc>
              <w:tc>
                <w:tcPr>
                  <w:tcW w:w="4427" w:type="pct"/>
                </w:tcPr>
                <w:p w14:paraId="61C36338" w14:textId="3519FDB0" w:rsidR="005F31D5" w:rsidRPr="00036CDC" w:rsidRDefault="005F31D5" w:rsidP="00575D7C">
                  <w:pPr>
                    <w:pStyle w:val="Bodycalibri11Millnet"/>
                    <w:framePr w:hSpace="180" w:wrap="around" w:hAnchor="margin" w:y="435"/>
                    <w:rPr>
                      <w:szCs w:val="22"/>
                    </w:rPr>
                  </w:pPr>
                  <w:r w:rsidRPr="001D6109">
                    <w:t xml:space="preserve">Responsibility for the policy </w:t>
                  </w:r>
                </w:p>
              </w:tc>
            </w:tr>
            <w:tr w:rsidR="005F31D5" w:rsidRPr="00036CDC" w14:paraId="50E713DF" w14:textId="77777777" w:rsidTr="005F31D5">
              <w:tc>
                <w:tcPr>
                  <w:tcW w:w="573" w:type="pct"/>
                </w:tcPr>
                <w:p w14:paraId="5F7F4EB3" w14:textId="6B314A94" w:rsidR="005F31D5" w:rsidRPr="00036CDC" w:rsidRDefault="005F31D5" w:rsidP="00575D7C">
                  <w:pPr>
                    <w:pStyle w:val="Bodycalibri11Millnet"/>
                    <w:framePr w:hSpace="180" w:wrap="around" w:hAnchor="margin" w:y="435"/>
                    <w:rPr>
                      <w:szCs w:val="22"/>
                    </w:rPr>
                  </w:pPr>
                  <w:r w:rsidRPr="001D6109">
                    <w:t>6</w:t>
                  </w:r>
                </w:p>
              </w:tc>
              <w:tc>
                <w:tcPr>
                  <w:tcW w:w="4427" w:type="pct"/>
                </w:tcPr>
                <w:p w14:paraId="31FB068A" w14:textId="73444B88" w:rsidR="005F31D5" w:rsidRPr="00036CDC" w:rsidRDefault="005F31D5" w:rsidP="00575D7C">
                  <w:pPr>
                    <w:pStyle w:val="Bodycalibri11Millnet"/>
                    <w:framePr w:hSpace="180" w:wrap="around" w:hAnchor="margin" w:y="435"/>
                    <w:rPr>
                      <w:szCs w:val="22"/>
                    </w:rPr>
                  </w:pPr>
                  <w:r w:rsidRPr="001D6109">
                    <w:t xml:space="preserve">Compliance and the policy </w:t>
                  </w:r>
                </w:p>
              </w:tc>
            </w:tr>
            <w:tr w:rsidR="005F31D5" w:rsidRPr="00036CDC" w14:paraId="38E9B581" w14:textId="77777777" w:rsidTr="005F31D5">
              <w:tc>
                <w:tcPr>
                  <w:tcW w:w="573" w:type="pct"/>
                </w:tcPr>
                <w:p w14:paraId="4BF23118" w14:textId="47A620AA" w:rsidR="005F31D5" w:rsidRPr="00036CDC" w:rsidRDefault="005F31D5" w:rsidP="00575D7C">
                  <w:pPr>
                    <w:pStyle w:val="Bodycalibri11Millnet"/>
                    <w:framePr w:hSpace="180" w:wrap="around" w:hAnchor="margin" w:y="435"/>
                    <w:rPr>
                      <w:szCs w:val="22"/>
                    </w:rPr>
                  </w:pPr>
                  <w:r w:rsidRPr="001D6109">
                    <w:t>7</w:t>
                  </w:r>
                </w:p>
              </w:tc>
              <w:tc>
                <w:tcPr>
                  <w:tcW w:w="4427" w:type="pct"/>
                </w:tcPr>
                <w:p w14:paraId="255252D1" w14:textId="6DB93A0A" w:rsidR="005F31D5" w:rsidRPr="00036CDC" w:rsidRDefault="005F31D5" w:rsidP="00575D7C">
                  <w:pPr>
                    <w:pStyle w:val="Bodycalibri11Millnet"/>
                    <w:framePr w:hSpace="180" w:wrap="around" w:hAnchor="margin" w:y="435"/>
                    <w:rPr>
                      <w:szCs w:val="22"/>
                    </w:rPr>
                  </w:pPr>
                  <w:r w:rsidRPr="001D6109">
                    <w:t xml:space="preserve">Communication and awareness of this policy </w:t>
                  </w:r>
                </w:p>
              </w:tc>
            </w:tr>
          </w:tbl>
          <w:p w14:paraId="00D0542F" w14:textId="77777777" w:rsidR="000E0E85" w:rsidRPr="00036CDC" w:rsidRDefault="000E0E85" w:rsidP="007950D5">
            <w:pPr>
              <w:pStyle w:val="Bodycalibri11Millnet"/>
              <w:rPr>
                <w:szCs w:val="22"/>
              </w:rPr>
            </w:pPr>
          </w:p>
          <w:p w14:paraId="533A47DE" w14:textId="77777777" w:rsidR="000E0E85" w:rsidRPr="00036CDC" w:rsidRDefault="000E0E85" w:rsidP="007950D5">
            <w:pPr>
              <w:pStyle w:val="Bodycalibri11Millnet"/>
              <w:rPr>
                <w:szCs w:val="22"/>
              </w:rPr>
            </w:pPr>
          </w:p>
        </w:tc>
      </w:tr>
    </w:tbl>
    <w:p w14:paraId="2F6F5049" w14:textId="77777777" w:rsidR="000E0E85" w:rsidRDefault="000E0E85" w:rsidP="000E0E85">
      <w:pPr>
        <w:spacing w:after="200"/>
        <w:sectPr w:rsidR="000E0E85" w:rsidSect="00D34CEE">
          <w:headerReference w:type="default" r:id="rId7"/>
          <w:pgSz w:w="11907" w:h="16840" w:code="9"/>
          <w:pgMar w:top="1418" w:right="1134" w:bottom="1418" w:left="1134" w:header="709" w:footer="709" w:gutter="0"/>
          <w:cols w:space="720"/>
          <w:docGrid w:linePitch="360"/>
        </w:sectPr>
      </w:pPr>
    </w:p>
    <w:p w14:paraId="5A6132DA" w14:textId="77777777" w:rsidR="00575D7C" w:rsidRDefault="00575D7C" w:rsidP="00575D7C">
      <w:pPr>
        <w:pStyle w:val="RestartNumberingS1SLH1"/>
        <w:numPr>
          <w:ilvl w:val="0"/>
          <w:numId w:val="4"/>
        </w:numPr>
        <w:tabs>
          <w:tab w:val="left" w:pos="720"/>
        </w:tabs>
        <w:jc w:val="left"/>
        <w:rPr>
          <w:b/>
        </w:rPr>
      </w:pPr>
      <w:r>
        <w:rPr>
          <w:b/>
        </w:rPr>
        <w:lastRenderedPageBreak/>
        <w:t>This policy applies to all Board members, employees and casual workers henceforth referred to as the Staff of Sadeh.</w:t>
      </w:r>
    </w:p>
    <w:p w14:paraId="709ABC1F" w14:textId="77777777" w:rsidR="005F31D5" w:rsidRDefault="005F31D5" w:rsidP="005F31D5">
      <w:pPr>
        <w:pStyle w:val="ScheduleLevelHeading1"/>
        <w:numPr>
          <w:ilvl w:val="3"/>
          <w:numId w:val="4"/>
        </w:numPr>
      </w:pPr>
      <w:bookmarkStart w:id="1" w:name="_Toc484593988"/>
      <w:bookmarkStart w:id="2" w:name="_GoBack"/>
      <w:bookmarkEnd w:id="2"/>
      <w:r>
        <w:t>Introduction and Policy Statement</w:t>
      </w:r>
      <w:bookmarkEnd w:id="1"/>
    </w:p>
    <w:p w14:paraId="7B2FE566" w14:textId="7F3590D1" w:rsidR="005F31D5" w:rsidRDefault="00FF52CA" w:rsidP="005F31D5">
      <w:pPr>
        <w:pStyle w:val="Schedule2"/>
        <w:numPr>
          <w:ilvl w:val="4"/>
          <w:numId w:val="4"/>
        </w:numPr>
      </w:pPr>
      <w:r>
        <w:t>Sadeh</w:t>
      </w:r>
      <w:r w:rsidR="005F31D5">
        <w:t xml:space="preserve"> has a </w:t>
      </w:r>
      <w:r w:rsidR="00620396">
        <w:t>zero-tolerance</w:t>
      </w:r>
      <w:r w:rsidR="005F31D5">
        <w:t xml:space="preserve"> policy towards modern slavery, whose forms are crimes and violations of fundamental human rights.  </w:t>
      </w:r>
      <w:r>
        <w:t>Sadeh</w:t>
      </w:r>
      <w:r w:rsidR="005F31D5">
        <w:t xml:space="preserve"> is committed to acting ethically and with integrity in all business dealings and relationships.  We have in place effective systems and controls to ensure modern slavery is not taking place anywhere in our own business or supply chains.  </w:t>
      </w:r>
    </w:p>
    <w:p w14:paraId="778068DF" w14:textId="77777777" w:rsidR="005F31D5" w:rsidRDefault="005F31D5" w:rsidP="005F31D5">
      <w:pPr>
        <w:pStyle w:val="Schedule2"/>
        <w:keepNext/>
        <w:numPr>
          <w:ilvl w:val="4"/>
          <w:numId w:val="4"/>
        </w:numPr>
      </w:pPr>
      <w:r>
        <w:t xml:space="preserve">Modern slavery takes various forms, including: </w:t>
      </w:r>
    </w:p>
    <w:p w14:paraId="144425BB" w14:textId="77777777" w:rsidR="005F31D5" w:rsidRDefault="005F31D5" w:rsidP="005F31D5">
      <w:pPr>
        <w:pStyle w:val="Schedule3"/>
      </w:pPr>
      <w:r>
        <w:t xml:space="preserve">slavery </w:t>
      </w:r>
    </w:p>
    <w:p w14:paraId="15682E02" w14:textId="77777777" w:rsidR="005F31D5" w:rsidRDefault="005F31D5" w:rsidP="005F31D5">
      <w:pPr>
        <w:pStyle w:val="Schedule3"/>
      </w:pPr>
      <w:r>
        <w:t xml:space="preserve">servitude </w:t>
      </w:r>
    </w:p>
    <w:p w14:paraId="58B9C99C" w14:textId="77777777" w:rsidR="005F31D5" w:rsidRDefault="005F31D5" w:rsidP="005F31D5">
      <w:pPr>
        <w:pStyle w:val="Schedule3"/>
      </w:pPr>
      <w:r>
        <w:t xml:space="preserve">forced and compulsory labour </w:t>
      </w:r>
    </w:p>
    <w:p w14:paraId="6A783911" w14:textId="77777777" w:rsidR="005F31D5" w:rsidRDefault="005F31D5" w:rsidP="005F31D5">
      <w:pPr>
        <w:pStyle w:val="Schedule3"/>
      </w:pPr>
      <w:r>
        <w:t>human trafficking.</w:t>
      </w:r>
    </w:p>
    <w:p w14:paraId="21322163" w14:textId="77777777" w:rsidR="005F31D5" w:rsidRDefault="005F31D5" w:rsidP="005F31D5">
      <w:pPr>
        <w:pStyle w:val="BodyText1"/>
      </w:pPr>
      <w:r>
        <w:t xml:space="preserve">The above forms of slavery have in common the deprivation of a person's liberty by another in order to exploit them for personal or commercial gain.  </w:t>
      </w:r>
    </w:p>
    <w:p w14:paraId="1B378F23" w14:textId="5A4B6B4F" w:rsidR="005F31D5" w:rsidRDefault="00FF52CA" w:rsidP="005F31D5">
      <w:pPr>
        <w:pStyle w:val="Schedule2"/>
        <w:numPr>
          <w:ilvl w:val="4"/>
          <w:numId w:val="4"/>
        </w:numPr>
      </w:pPr>
      <w:r>
        <w:t>Sadeh</w:t>
      </w:r>
      <w:r w:rsidR="005F31D5">
        <w:t xml:space="preserve"> is committed to ensuring there is a transparency in our own </w:t>
      </w:r>
      <w:r w:rsidR="00620396">
        <w:t>organisation</w:t>
      </w:r>
      <w:r w:rsidR="005F31D5">
        <w:t xml:space="preserve"> and in our approach to preventing modern slavery throughout our supply chains, consistent with our disclosure obligations under the Modern Slavery Act 2015 and our own principles for sustainable business.  </w:t>
      </w:r>
    </w:p>
    <w:p w14:paraId="3D7ADFB9" w14:textId="77777777" w:rsidR="005F31D5" w:rsidRDefault="005F31D5" w:rsidP="005F31D5">
      <w:pPr>
        <w:pStyle w:val="ScheduleLevelHeading1"/>
        <w:numPr>
          <w:ilvl w:val="3"/>
          <w:numId w:val="4"/>
        </w:numPr>
      </w:pPr>
      <w:bookmarkStart w:id="3" w:name="_Toc484593989"/>
      <w:r>
        <w:t>Application</w:t>
      </w:r>
      <w:bookmarkEnd w:id="3"/>
      <w:r>
        <w:t xml:space="preserve"> </w:t>
      </w:r>
    </w:p>
    <w:p w14:paraId="2DE583EA" w14:textId="5D4BB318" w:rsidR="005F31D5" w:rsidRDefault="005F31D5" w:rsidP="005F31D5">
      <w:pPr>
        <w:pStyle w:val="Schedule2"/>
        <w:numPr>
          <w:ilvl w:val="4"/>
          <w:numId w:val="4"/>
        </w:numPr>
      </w:pPr>
      <w:r>
        <w:t xml:space="preserve">This policy applies to all Staff working for or on behalf of </w:t>
      </w:r>
      <w:r w:rsidR="00FF52CA">
        <w:t>Sadeh</w:t>
      </w:r>
      <w:r>
        <w:t xml:space="preserve"> in any capacity, including all employees, consultants, agency workers, individuals undertaking work experience, contractors, third-party representatives and business partners.  </w:t>
      </w:r>
    </w:p>
    <w:p w14:paraId="59027B54" w14:textId="77777777" w:rsidR="005F31D5" w:rsidRDefault="005F31D5" w:rsidP="005F31D5">
      <w:pPr>
        <w:pStyle w:val="BodyText"/>
        <w:keepNext/>
        <w:ind w:left="709"/>
        <w:rPr>
          <w:b/>
        </w:rPr>
      </w:pPr>
      <w:r>
        <w:rPr>
          <w:b/>
        </w:rPr>
        <w:t xml:space="preserve">The supply chain </w:t>
      </w:r>
    </w:p>
    <w:p w14:paraId="4F421EC1" w14:textId="6BF1321B" w:rsidR="005F31D5" w:rsidRDefault="00FF52CA" w:rsidP="005F31D5">
      <w:pPr>
        <w:pStyle w:val="Schedule2"/>
        <w:numPr>
          <w:ilvl w:val="4"/>
          <w:numId w:val="4"/>
        </w:numPr>
      </w:pPr>
      <w:r>
        <w:t>Sadeh</w:t>
      </w:r>
      <w:r w:rsidR="005F31D5">
        <w:t xml:space="preserve"> expects all of its contractors, suppliers and other business partners to adopt the same high standards in the pursuit to prevent modern slavery.  As part of our procurement and contracting processes, </w:t>
      </w:r>
      <w:r>
        <w:t>Sadeh</w:t>
      </w:r>
      <w:r w:rsidR="005F31D5">
        <w:t xml:space="preserve"> expects Suppliers to ensure compliance with the Act and our own policy against the use of forced, compulsory or trafficked labour, or anyone held in slavery or servitude, whether adults or children.  </w:t>
      </w:r>
    </w:p>
    <w:p w14:paraId="36A2B8C4" w14:textId="0F5FDEC0" w:rsidR="005F31D5" w:rsidRDefault="00FF52CA" w:rsidP="005F31D5">
      <w:pPr>
        <w:pStyle w:val="Schedule2"/>
        <w:numPr>
          <w:ilvl w:val="4"/>
          <w:numId w:val="4"/>
        </w:numPr>
      </w:pPr>
      <w:r>
        <w:t xml:space="preserve">Sadeh </w:t>
      </w:r>
      <w:r w:rsidR="005F31D5">
        <w:t>expects our suppliers to adopt the same principles when contracting their own suppliers.</w:t>
      </w:r>
    </w:p>
    <w:p w14:paraId="1B970B33" w14:textId="77777777" w:rsidR="005F31D5" w:rsidRDefault="005F31D5" w:rsidP="005F31D5">
      <w:pPr>
        <w:pStyle w:val="BodyText"/>
        <w:keepNext/>
        <w:ind w:left="709"/>
        <w:rPr>
          <w:b/>
        </w:rPr>
      </w:pPr>
      <w:r>
        <w:rPr>
          <w:b/>
        </w:rPr>
        <w:t xml:space="preserve">Employee Terms and Conditions </w:t>
      </w:r>
    </w:p>
    <w:p w14:paraId="0C956EC2" w14:textId="1ADFF7D2" w:rsidR="005F31D5" w:rsidRDefault="00FF52CA" w:rsidP="005F31D5">
      <w:pPr>
        <w:pStyle w:val="Schedule2"/>
        <w:numPr>
          <w:ilvl w:val="4"/>
          <w:numId w:val="4"/>
        </w:numPr>
      </w:pPr>
      <w:r>
        <w:t xml:space="preserve">Sadeh </w:t>
      </w:r>
      <w:r w:rsidR="005F31D5">
        <w:t xml:space="preserve">ensures compliance with all applicable employment legislation relating to recruitment and employee terms and conditions, including ensuring that right to work checks are properly carried out, and that no staff in the UK are paid less than the National Minimum Wage.  </w:t>
      </w:r>
    </w:p>
    <w:p w14:paraId="5BC6CA0A" w14:textId="77777777" w:rsidR="005F31D5" w:rsidRDefault="005F31D5" w:rsidP="005F31D5">
      <w:pPr>
        <w:pStyle w:val="ScheduleLevelHeading1"/>
        <w:numPr>
          <w:ilvl w:val="3"/>
          <w:numId w:val="4"/>
        </w:numPr>
      </w:pPr>
      <w:bookmarkStart w:id="4" w:name="_Toc484593990"/>
      <w:r>
        <w:lastRenderedPageBreak/>
        <w:t>Responsibility for the Policy</w:t>
      </w:r>
      <w:bookmarkEnd w:id="4"/>
    </w:p>
    <w:p w14:paraId="7441B8FF" w14:textId="4AE570A4" w:rsidR="005F31D5" w:rsidRDefault="005F31D5" w:rsidP="005F31D5">
      <w:pPr>
        <w:pStyle w:val="Schedule2"/>
        <w:numPr>
          <w:ilvl w:val="4"/>
          <w:numId w:val="4"/>
        </w:numPr>
      </w:pPr>
      <w:r>
        <w:t xml:space="preserve">The Board has overall responsibility for ensuring this policy complies with the </w:t>
      </w:r>
      <w:r w:rsidR="00FF52CA">
        <w:t>Sadeh’s</w:t>
      </w:r>
      <w:r>
        <w:t xml:space="preserve"> legal and ethical obligations and that all Staff comply with the policy.  </w:t>
      </w:r>
    </w:p>
    <w:p w14:paraId="186306E6" w14:textId="372D37A8" w:rsidR="005F31D5" w:rsidRDefault="005F31D5" w:rsidP="005F31D5">
      <w:pPr>
        <w:pStyle w:val="Schedule2"/>
        <w:numPr>
          <w:ilvl w:val="4"/>
          <w:numId w:val="4"/>
        </w:numPr>
      </w:pPr>
      <w:r>
        <w:t xml:space="preserve">The </w:t>
      </w:r>
      <w:r w:rsidR="00FF52CA">
        <w:t>Chief Executive Officer</w:t>
      </w:r>
      <w:r>
        <w:t xml:space="preserve"> has primary and day-to-day responsibility for implementing this policy and monitoring its use and effectiveness.  </w:t>
      </w:r>
    </w:p>
    <w:p w14:paraId="2A0C6D90" w14:textId="77777777" w:rsidR="005F31D5" w:rsidRDefault="005F31D5" w:rsidP="005F31D5">
      <w:pPr>
        <w:pStyle w:val="ScheduleLevelHeading1"/>
        <w:numPr>
          <w:ilvl w:val="3"/>
          <w:numId w:val="4"/>
        </w:numPr>
      </w:pPr>
      <w:bookmarkStart w:id="5" w:name="_Toc484593991"/>
      <w:r>
        <w:t>Compliance with the Policy</w:t>
      </w:r>
      <w:bookmarkEnd w:id="5"/>
    </w:p>
    <w:p w14:paraId="39D3F625" w14:textId="77777777" w:rsidR="005F31D5" w:rsidRDefault="005F31D5" w:rsidP="005F31D5">
      <w:pPr>
        <w:pStyle w:val="Schedule2"/>
        <w:numPr>
          <w:ilvl w:val="4"/>
          <w:numId w:val="4"/>
        </w:numPr>
      </w:pPr>
      <w:r>
        <w:t>All Staff are required to read, understand and comply with this Policy.</w:t>
      </w:r>
    </w:p>
    <w:p w14:paraId="1396B233" w14:textId="6145D4D3" w:rsidR="005F31D5" w:rsidRDefault="005F31D5" w:rsidP="005F31D5">
      <w:pPr>
        <w:pStyle w:val="Schedule2"/>
        <w:numPr>
          <w:ilvl w:val="4"/>
          <w:numId w:val="4"/>
        </w:numPr>
      </w:pPr>
      <w:r>
        <w:t xml:space="preserve">The prevention, detection and reporting of modern slavery in any part of </w:t>
      </w:r>
      <w:r w:rsidR="00FF52CA">
        <w:t xml:space="preserve">Sadeh’s </w:t>
      </w:r>
      <w:r>
        <w:t xml:space="preserve">business or supply chain is the responsibility of all Staff.  All members of Staff are required to avoid any activity that might lead to, or suggest, a breach of this policy.  </w:t>
      </w:r>
    </w:p>
    <w:p w14:paraId="173F1051" w14:textId="112DAF28" w:rsidR="005F31D5" w:rsidRDefault="005F31D5" w:rsidP="005F31D5">
      <w:pPr>
        <w:pStyle w:val="Schedule2"/>
        <w:numPr>
          <w:ilvl w:val="4"/>
          <w:numId w:val="4"/>
        </w:numPr>
      </w:pPr>
      <w:r>
        <w:t xml:space="preserve">In the event of an actual, suspected or potential breach of this Policy, within the </w:t>
      </w:r>
      <w:r w:rsidR="00620396">
        <w:t>organisation</w:t>
      </w:r>
      <w:r>
        <w:t xml:space="preserve"> itself or its supply chain, you should contact your relevant Line Manager</w:t>
      </w:r>
    </w:p>
    <w:p w14:paraId="6961B955" w14:textId="3A8852F8" w:rsidR="005F31D5" w:rsidRDefault="005F31D5" w:rsidP="005F31D5">
      <w:pPr>
        <w:pStyle w:val="Schedule2"/>
        <w:numPr>
          <w:ilvl w:val="4"/>
          <w:numId w:val="4"/>
        </w:numPr>
      </w:pPr>
      <w:r>
        <w:t xml:space="preserve">If you are unsure about whether a particular act, the treatment of workers more generally, or their working conditions within any tier of the </w:t>
      </w:r>
      <w:r w:rsidR="00FF52CA">
        <w:t xml:space="preserve">Sadeh’s </w:t>
      </w:r>
      <w:r>
        <w:t>supply chains constitutes any forms of modern slavery, you should seek guidance from your Line Manager.</w:t>
      </w:r>
    </w:p>
    <w:p w14:paraId="650FDDC6" w14:textId="139DA8E2" w:rsidR="005F31D5" w:rsidRDefault="00FF52CA" w:rsidP="005F31D5">
      <w:pPr>
        <w:pStyle w:val="Schedule2"/>
        <w:numPr>
          <w:ilvl w:val="4"/>
          <w:numId w:val="4"/>
        </w:numPr>
      </w:pPr>
      <w:r>
        <w:t>Sadeh</w:t>
      </w:r>
      <w:r w:rsidR="005F31D5">
        <w:t xml:space="preserve"> aims to encourage openness and will support anyone who raises genuine concerns in good faith under this policy, even if they turn out to be mistaken.  In-line with our Whistleblowing Policy, </w:t>
      </w:r>
      <w:r>
        <w:t>Sadeh</w:t>
      </w:r>
      <w:r w:rsidR="005F31D5">
        <w:t xml:space="preserve"> is committed to ensuring no one suffers any detrimental treatment as a result of reporting in good faith their suspicion that modern slavery, of whatever form, is or may be taking place in any part of </w:t>
      </w:r>
      <w:r w:rsidR="003C0D9A">
        <w:t>Sadeh’s</w:t>
      </w:r>
      <w:r w:rsidR="005F31D5">
        <w:t xml:space="preserve"> business or supply chains.  Detrimental treatment includes dismissal, disciplinary action, threats or other unfavourable treatment connected with raising a concern.  </w:t>
      </w:r>
    </w:p>
    <w:p w14:paraId="2CBBE459" w14:textId="77777777" w:rsidR="005F31D5" w:rsidRDefault="005F31D5" w:rsidP="005F31D5">
      <w:pPr>
        <w:pStyle w:val="ScheduleLevelHeading1"/>
        <w:numPr>
          <w:ilvl w:val="3"/>
          <w:numId w:val="4"/>
        </w:numPr>
      </w:pPr>
      <w:bookmarkStart w:id="6" w:name="_Toc484593992"/>
      <w:r>
        <w:t>Communication and Awareness of this Policy</w:t>
      </w:r>
      <w:bookmarkEnd w:id="6"/>
      <w:r>
        <w:t xml:space="preserve"> </w:t>
      </w:r>
    </w:p>
    <w:p w14:paraId="3F3407FE" w14:textId="77777777" w:rsidR="005F31D5" w:rsidRDefault="005F31D5" w:rsidP="005F31D5">
      <w:pPr>
        <w:pStyle w:val="Schedule2"/>
        <w:numPr>
          <w:ilvl w:val="4"/>
          <w:numId w:val="4"/>
        </w:numPr>
      </w:pPr>
      <w:r>
        <w:t xml:space="preserve">Periodic training will be offered in relation to this Policy to increase awareness and understanding of Anti-Slavery and Human Trafficking legislation and the responsibilities of Staff.  </w:t>
      </w:r>
    </w:p>
    <w:p w14:paraId="4A23770F" w14:textId="2264AF4F" w:rsidR="005F31D5" w:rsidRDefault="00FF52CA" w:rsidP="005F31D5">
      <w:pPr>
        <w:pStyle w:val="Schedule2"/>
        <w:numPr>
          <w:ilvl w:val="4"/>
          <w:numId w:val="4"/>
        </w:numPr>
      </w:pPr>
      <w:r>
        <w:t>Sadeh</w:t>
      </w:r>
      <w:r w:rsidR="005F31D5">
        <w:t xml:space="preserve">'s zero-tolerance approach to modern slavery must be communicated to all suppliers, contractors and business partners at the outset of our business relationship with them and reinforced as appropriate thereafter.  </w:t>
      </w:r>
    </w:p>
    <w:p w14:paraId="4D9B67D8" w14:textId="77777777" w:rsidR="005F31D5" w:rsidRDefault="005F31D5" w:rsidP="005F31D5">
      <w:pPr>
        <w:pStyle w:val="ScheduleLevelHeading1"/>
        <w:numPr>
          <w:ilvl w:val="3"/>
          <w:numId w:val="4"/>
        </w:numPr>
      </w:pPr>
      <w:bookmarkStart w:id="7" w:name="_Toc484593993"/>
      <w:r>
        <w:t>Breaches of this Policy</w:t>
      </w:r>
      <w:bookmarkEnd w:id="7"/>
      <w:r>
        <w:t xml:space="preserve"> </w:t>
      </w:r>
    </w:p>
    <w:p w14:paraId="5DEBAACD" w14:textId="77777777" w:rsidR="005F31D5" w:rsidRDefault="005F31D5" w:rsidP="005F31D5">
      <w:pPr>
        <w:pStyle w:val="BodyText1"/>
      </w:pPr>
      <w:r>
        <w:t xml:space="preserve">Failure to comply with this policy and/or associated regulations, may lead to disciplinary action including, in certain circumstances, dismissal.  </w:t>
      </w:r>
    </w:p>
    <w:p w14:paraId="35045271" w14:textId="33FC8B03" w:rsidR="005F31D5" w:rsidRDefault="00620396" w:rsidP="005F31D5">
      <w:pPr>
        <w:pStyle w:val="Subtitleleft"/>
      </w:pPr>
      <w:r>
        <w:t>Sadeh</w:t>
      </w:r>
      <w:r w:rsidR="005F31D5">
        <w:t xml:space="preserve"> reserves the right to amend this policy as required</w:t>
      </w:r>
    </w:p>
    <w:p w14:paraId="01DB75F9" w14:textId="77777777" w:rsidR="005F31D5" w:rsidRDefault="005F31D5" w:rsidP="005F31D5">
      <w:pPr>
        <w:spacing w:after="200"/>
      </w:pPr>
    </w:p>
    <w:p w14:paraId="5B49786B" w14:textId="77777777" w:rsidR="005F31D5" w:rsidRPr="00D059A0" w:rsidRDefault="005F31D5" w:rsidP="005F31D5">
      <w:pPr>
        <w:pStyle w:val="BodyText"/>
      </w:pPr>
    </w:p>
    <w:p w14:paraId="103780D9" w14:textId="77777777" w:rsidR="008C5919" w:rsidRDefault="008C5919" w:rsidP="005F31D5">
      <w:pPr>
        <w:pStyle w:val="ScheduleLevelHeading1"/>
        <w:rPr>
          <w:sz w:val="19"/>
          <w:szCs w:val="19"/>
          <w:highlight w:val="white"/>
        </w:rPr>
      </w:pPr>
    </w:p>
    <w:sectPr w:rsidR="008C5919" w:rsidSect="00D34CEE">
      <w:headerReference w:type="default" r:id="rId8"/>
      <w:pgSz w:w="11907" w:h="16840" w:code="9"/>
      <w:pgMar w:top="1418" w:right="1134" w:bottom="1418"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842BD" w14:textId="77777777" w:rsidR="00135EFF" w:rsidRDefault="00135EFF" w:rsidP="000E0E85">
      <w:pPr>
        <w:spacing w:line="240" w:lineRule="auto"/>
      </w:pPr>
      <w:r>
        <w:separator/>
      </w:r>
    </w:p>
  </w:endnote>
  <w:endnote w:type="continuationSeparator" w:id="0">
    <w:p w14:paraId="2ED82276" w14:textId="77777777" w:rsidR="00135EFF" w:rsidRDefault="00135EFF" w:rsidP="000E0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ontserrat Black">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CD0E8" w14:textId="77777777" w:rsidR="00135EFF" w:rsidRDefault="00135EFF" w:rsidP="000E0E85">
      <w:pPr>
        <w:spacing w:line="240" w:lineRule="auto"/>
      </w:pPr>
      <w:r>
        <w:separator/>
      </w:r>
    </w:p>
  </w:footnote>
  <w:footnote w:type="continuationSeparator" w:id="0">
    <w:p w14:paraId="2F6CFD49" w14:textId="77777777" w:rsidR="00135EFF" w:rsidRDefault="00135EFF" w:rsidP="000E0E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83E12" w14:textId="5F2EFA9B" w:rsidR="007950D5" w:rsidRDefault="007950D5">
    <w:pPr>
      <w:pStyle w:val="Header"/>
    </w:pPr>
    <w:r>
      <w:rPr>
        <w:rFonts w:ascii="Montserrat Black" w:eastAsia="Montserrat Black" w:hAnsi="Montserrat Black" w:cs="Montserrat Black"/>
        <w:noProof/>
        <w:color w:val="274E13"/>
        <w:sz w:val="70"/>
        <w:szCs w:val="70"/>
      </w:rPr>
      <w:drawing>
        <wp:anchor distT="0" distB="0" distL="114300" distR="114300" simplePos="0" relativeHeight="251658752" behindDoc="0" locked="0" layoutInCell="1" allowOverlap="1" wp14:anchorId="2850EB65" wp14:editId="65F2BFB7">
          <wp:simplePos x="0" y="0"/>
          <wp:positionH relativeFrom="column">
            <wp:posOffset>4728210</wp:posOffset>
          </wp:positionH>
          <wp:positionV relativeFrom="paragraph">
            <wp:posOffset>-450215</wp:posOffset>
          </wp:positionV>
          <wp:extent cx="2220149" cy="885825"/>
          <wp:effectExtent l="0" t="0" r="889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224932" cy="887734"/>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D8C19" w14:textId="77777777" w:rsidR="00894EDB" w:rsidRDefault="00135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3FC"/>
    <w:multiLevelType w:val="hybridMultilevel"/>
    <w:tmpl w:val="58205C9A"/>
    <w:lvl w:ilvl="0" w:tplc="67B04E40">
      <w:start w:val="1"/>
      <w:numFmt w:val="bullet"/>
      <w:pStyle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343FF"/>
    <w:multiLevelType w:val="hybridMultilevel"/>
    <w:tmpl w:val="AF8069C4"/>
    <w:lvl w:ilvl="0" w:tplc="F7FAE508">
      <w:start w:val="1"/>
      <w:numFmt w:val="lowerLetter"/>
      <w:pStyle w:val="Definition1"/>
      <w:lvlText w:val="(%1)"/>
      <w:lvlJc w:val="left"/>
      <w:pPr>
        <w:tabs>
          <w:tab w:val="num" w:pos="1411"/>
        </w:tabs>
        <w:ind w:left="1411"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5912E6"/>
    <w:multiLevelType w:val="multilevel"/>
    <w:tmpl w:val="07F0D61E"/>
    <w:lvl w:ilvl="0">
      <w:start w:val="1"/>
      <w:numFmt w:val="none"/>
      <w:pStyle w:val="RestartNumberingS1SLH1"/>
      <w:suff w:val="nothing"/>
      <w:lvlText w:val="%1"/>
      <w:lvlJc w:val="left"/>
      <w:pPr>
        <w:ind w:left="0" w:firstLine="0"/>
      </w:pPr>
      <w:rPr>
        <w:rFonts w:hint="default"/>
        <w:b w:val="0"/>
        <w:i w:val="0"/>
      </w:rPr>
    </w:lvl>
    <w:lvl w:ilvl="1">
      <w:start w:val="1"/>
      <w:numFmt w:val="none"/>
      <w:lvlRestart w:val="0"/>
      <w:pStyle w:val="Scheduleheading"/>
      <w:suff w:val="nothing"/>
      <w:lvlText w:val="%1"/>
      <w:lvlJc w:val="center"/>
      <w:pPr>
        <w:ind w:left="0" w:firstLine="0"/>
      </w:pPr>
      <w:rPr>
        <w:rFonts w:hint="default"/>
        <w:b w:val="0"/>
        <w:i w:val="0"/>
      </w:rPr>
    </w:lvl>
    <w:lvl w:ilvl="2">
      <w:start w:val="1"/>
      <w:numFmt w:val="none"/>
      <w:lvlRestart w:val="0"/>
      <w:pStyle w:val="Schedulepart"/>
      <w:suff w:val="nothing"/>
      <w:lvlText w:val=""/>
      <w:lvlJc w:val="left"/>
      <w:pPr>
        <w:ind w:left="0" w:firstLine="0"/>
      </w:pPr>
      <w:rPr>
        <w:rFonts w:hint="default"/>
        <w:b w:val="0"/>
        <w:i w:val="0"/>
      </w:rPr>
    </w:lvl>
    <w:lvl w:ilvl="3">
      <w:start w:val="1"/>
      <w:numFmt w:val="decimal"/>
      <w:lvlRestart w:val="2"/>
      <w:pStyle w:val="Schedule1"/>
      <w:lvlText w:val="%4."/>
      <w:lvlJc w:val="left"/>
      <w:pPr>
        <w:tabs>
          <w:tab w:val="num" w:pos="709"/>
        </w:tabs>
        <w:ind w:left="709" w:hanging="709"/>
      </w:pPr>
      <w:rPr>
        <w:rFonts w:hint="default"/>
        <w:b w:val="0"/>
        <w:i w:val="0"/>
      </w:rPr>
    </w:lvl>
    <w:lvl w:ilvl="4">
      <w:start w:val="1"/>
      <w:numFmt w:val="decimal"/>
      <w:pStyle w:val="Schedule2"/>
      <w:lvlText w:val="%4.%5"/>
      <w:lvlJc w:val="left"/>
      <w:pPr>
        <w:tabs>
          <w:tab w:val="num" w:pos="709"/>
        </w:tabs>
        <w:ind w:left="709" w:hanging="709"/>
      </w:pPr>
      <w:rPr>
        <w:rFonts w:hint="default"/>
        <w:b w:val="0"/>
        <w:i w:val="0"/>
      </w:rPr>
    </w:lvl>
    <w:lvl w:ilvl="5">
      <w:start w:val="1"/>
      <w:numFmt w:val="decimal"/>
      <w:pStyle w:val="Schedule3"/>
      <w:lvlText w:val="%4.%5.%6"/>
      <w:lvlJc w:val="left"/>
      <w:pPr>
        <w:tabs>
          <w:tab w:val="num" w:pos="1418"/>
        </w:tabs>
        <w:ind w:left="1418" w:hanging="709"/>
      </w:pPr>
      <w:rPr>
        <w:rFonts w:hint="default"/>
      </w:rPr>
    </w:lvl>
    <w:lvl w:ilvl="6">
      <w:start w:val="1"/>
      <w:numFmt w:val="lowerLetter"/>
      <w:pStyle w:val="Schedule4"/>
      <w:lvlText w:val="(%7)"/>
      <w:lvlJc w:val="left"/>
      <w:pPr>
        <w:tabs>
          <w:tab w:val="num" w:pos="2126"/>
        </w:tabs>
        <w:ind w:left="2126" w:hanging="708"/>
      </w:pPr>
      <w:rPr>
        <w:rFonts w:hint="default"/>
      </w:rPr>
    </w:lvl>
    <w:lvl w:ilvl="7">
      <w:start w:val="1"/>
      <w:numFmt w:val="lowerRoman"/>
      <w:pStyle w:val="Schedule5"/>
      <w:lvlText w:val="(%8%1)"/>
      <w:lvlJc w:val="left"/>
      <w:pPr>
        <w:tabs>
          <w:tab w:val="num" w:pos="2835"/>
        </w:tabs>
        <w:ind w:left="2835" w:hanging="709"/>
      </w:pPr>
      <w:rPr>
        <w:rFonts w:hint="default"/>
      </w:rPr>
    </w:lvl>
    <w:lvl w:ilvl="8">
      <w:start w:val="1"/>
      <w:numFmt w:val="upperLetter"/>
      <w:pStyle w:val="Schedule6"/>
      <w:lvlText w:val="%1(%9)"/>
      <w:lvlJc w:val="left"/>
      <w:pPr>
        <w:tabs>
          <w:tab w:val="num" w:pos="3544"/>
        </w:tabs>
        <w:ind w:left="3544" w:hanging="709"/>
      </w:pPr>
      <w:rPr>
        <w:rFonts w:hint="default"/>
      </w:r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133AA"/>
    <w:rsid w:val="000E0E85"/>
    <w:rsid w:val="00135EFF"/>
    <w:rsid w:val="001C4236"/>
    <w:rsid w:val="0022750F"/>
    <w:rsid w:val="003C0D9A"/>
    <w:rsid w:val="00575D7C"/>
    <w:rsid w:val="005F31D5"/>
    <w:rsid w:val="00620396"/>
    <w:rsid w:val="00677D8F"/>
    <w:rsid w:val="007950D5"/>
    <w:rsid w:val="008C5919"/>
    <w:rsid w:val="00A45334"/>
    <w:rsid w:val="00B66D8A"/>
    <w:rsid w:val="00CB0AEC"/>
    <w:rsid w:val="00D1439B"/>
    <w:rsid w:val="00F133AA"/>
    <w:rsid w:val="00FF5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A0E2"/>
  <w15:docId w15:val="{44E907B9-0BAA-49E5-A85E-BFB6DD7A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BodyText1">
    <w:name w:val="Body Text 1"/>
    <w:basedOn w:val="BodyText"/>
    <w:qFormat/>
    <w:rsid w:val="000E0E85"/>
    <w:pPr>
      <w:ind w:left="709"/>
    </w:pPr>
  </w:style>
  <w:style w:type="paragraph" w:styleId="BodyText">
    <w:name w:val="Body Text"/>
    <w:basedOn w:val="Normal"/>
    <w:link w:val="BodyTextChar"/>
    <w:qFormat/>
    <w:rsid w:val="000E0E85"/>
    <w:pPr>
      <w:spacing w:after="240" w:line="240" w:lineRule="auto"/>
      <w:jc w:val="both"/>
    </w:pPr>
    <w:rPr>
      <w:rFonts w:eastAsia="Times New Roman" w:cs="Times New Roman"/>
      <w:szCs w:val="24"/>
      <w:lang w:val="en-GB" w:eastAsia="en-US"/>
    </w:rPr>
  </w:style>
  <w:style w:type="character" w:customStyle="1" w:styleId="BodyTextChar">
    <w:name w:val="Body Text Char"/>
    <w:basedOn w:val="DefaultParagraphFont"/>
    <w:link w:val="BodyText"/>
    <w:rsid w:val="000E0E85"/>
    <w:rPr>
      <w:rFonts w:eastAsia="Times New Roman" w:cs="Times New Roman"/>
      <w:szCs w:val="24"/>
      <w:lang w:val="en-GB" w:eastAsia="en-US"/>
    </w:rPr>
  </w:style>
  <w:style w:type="paragraph" w:customStyle="1" w:styleId="Bullet">
    <w:name w:val="Bullet"/>
    <w:basedOn w:val="BodyText"/>
    <w:qFormat/>
    <w:rsid w:val="000E0E85"/>
    <w:pPr>
      <w:numPr>
        <w:numId w:val="1"/>
      </w:numPr>
    </w:pPr>
  </w:style>
  <w:style w:type="paragraph" w:customStyle="1" w:styleId="Bullet1">
    <w:name w:val="Bullet 1"/>
    <w:basedOn w:val="Bullet"/>
    <w:qFormat/>
    <w:rsid w:val="000E0E85"/>
    <w:pPr>
      <w:tabs>
        <w:tab w:val="clear" w:pos="709"/>
      </w:tabs>
      <w:ind w:left="1418"/>
    </w:pPr>
  </w:style>
  <w:style w:type="paragraph" w:customStyle="1" w:styleId="Bullet2">
    <w:name w:val="Bullet 2"/>
    <w:basedOn w:val="Bullet1"/>
    <w:qFormat/>
    <w:rsid w:val="000E0E85"/>
  </w:style>
  <w:style w:type="paragraph" w:customStyle="1" w:styleId="Bullet3">
    <w:name w:val="Bullet 3"/>
    <w:basedOn w:val="Bullet1"/>
    <w:qFormat/>
    <w:rsid w:val="000E0E85"/>
    <w:pPr>
      <w:ind w:left="2127"/>
    </w:pPr>
  </w:style>
  <w:style w:type="paragraph" w:customStyle="1" w:styleId="Subtitleleft">
    <w:name w:val="Sub title left"/>
    <w:basedOn w:val="BodyText"/>
    <w:next w:val="BodyText"/>
    <w:qFormat/>
    <w:rsid w:val="000E0E85"/>
    <w:pPr>
      <w:keepNext/>
      <w:jc w:val="left"/>
    </w:pPr>
    <w:rPr>
      <w:b/>
    </w:rPr>
  </w:style>
  <w:style w:type="paragraph" w:customStyle="1" w:styleId="Schedule1">
    <w:name w:val="Schedule 1"/>
    <w:basedOn w:val="BodyText"/>
    <w:next w:val="BodyText1"/>
    <w:qFormat/>
    <w:rsid w:val="000E0E85"/>
    <w:pPr>
      <w:numPr>
        <w:ilvl w:val="3"/>
        <w:numId w:val="2"/>
      </w:numPr>
    </w:pPr>
  </w:style>
  <w:style w:type="paragraph" w:customStyle="1" w:styleId="Schedule2">
    <w:name w:val="Schedule 2"/>
    <w:basedOn w:val="BodyText"/>
    <w:next w:val="BodyText2"/>
    <w:qFormat/>
    <w:rsid w:val="000E0E85"/>
    <w:pPr>
      <w:numPr>
        <w:ilvl w:val="4"/>
        <w:numId w:val="2"/>
      </w:numPr>
    </w:pPr>
  </w:style>
  <w:style w:type="paragraph" w:customStyle="1" w:styleId="Schedule3">
    <w:name w:val="Schedule 3"/>
    <w:basedOn w:val="BodyText"/>
    <w:next w:val="BodyText3"/>
    <w:qFormat/>
    <w:rsid w:val="000E0E85"/>
    <w:pPr>
      <w:numPr>
        <w:ilvl w:val="5"/>
        <w:numId w:val="2"/>
      </w:numPr>
    </w:pPr>
  </w:style>
  <w:style w:type="paragraph" w:customStyle="1" w:styleId="Schedule4">
    <w:name w:val="Schedule 4"/>
    <w:basedOn w:val="BodyText"/>
    <w:next w:val="Normal"/>
    <w:qFormat/>
    <w:rsid w:val="000E0E85"/>
    <w:pPr>
      <w:numPr>
        <w:ilvl w:val="6"/>
        <w:numId w:val="2"/>
      </w:numPr>
    </w:pPr>
  </w:style>
  <w:style w:type="paragraph" w:customStyle="1" w:styleId="Schedule5">
    <w:name w:val="Schedule 5"/>
    <w:basedOn w:val="BodyText"/>
    <w:next w:val="Normal"/>
    <w:qFormat/>
    <w:rsid w:val="000E0E85"/>
    <w:pPr>
      <w:numPr>
        <w:ilvl w:val="7"/>
        <w:numId w:val="2"/>
      </w:numPr>
    </w:pPr>
  </w:style>
  <w:style w:type="paragraph" w:customStyle="1" w:styleId="Schedule6">
    <w:name w:val="Schedule 6"/>
    <w:basedOn w:val="BodyText"/>
    <w:next w:val="Normal"/>
    <w:qFormat/>
    <w:rsid w:val="000E0E85"/>
    <w:pPr>
      <w:numPr>
        <w:ilvl w:val="8"/>
        <w:numId w:val="2"/>
      </w:numPr>
    </w:pPr>
  </w:style>
  <w:style w:type="paragraph" w:customStyle="1" w:styleId="Scheduleheading">
    <w:name w:val="Schedule heading"/>
    <w:basedOn w:val="BodyText"/>
    <w:next w:val="Schedulepart"/>
    <w:qFormat/>
    <w:rsid w:val="000E0E85"/>
    <w:pPr>
      <w:pageBreakBefore/>
      <w:numPr>
        <w:ilvl w:val="1"/>
        <w:numId w:val="2"/>
      </w:numPr>
      <w:jc w:val="center"/>
    </w:pPr>
    <w:rPr>
      <w:b/>
      <w:caps/>
    </w:rPr>
  </w:style>
  <w:style w:type="paragraph" w:customStyle="1" w:styleId="Schedulepart">
    <w:name w:val="Schedule part"/>
    <w:basedOn w:val="BodyText"/>
    <w:next w:val="Schedule1"/>
    <w:qFormat/>
    <w:rsid w:val="000E0E85"/>
    <w:pPr>
      <w:numPr>
        <w:ilvl w:val="2"/>
        <w:numId w:val="2"/>
      </w:numPr>
      <w:jc w:val="left"/>
    </w:pPr>
    <w:rPr>
      <w:b/>
    </w:rPr>
  </w:style>
  <w:style w:type="character" w:customStyle="1" w:styleId="Definitionterm">
    <w:name w:val="Definition term"/>
    <w:basedOn w:val="DefaultParagraphFont"/>
    <w:qFormat/>
    <w:rsid w:val="000E0E85"/>
    <w:rPr>
      <w:rFonts w:ascii="Arial" w:hAnsi="Arial"/>
      <w:b/>
      <w:color w:val="000000"/>
      <w:sz w:val="22"/>
    </w:rPr>
  </w:style>
  <w:style w:type="table" w:styleId="TableGrid">
    <w:name w:val="Table Grid"/>
    <w:basedOn w:val="TableNormal"/>
    <w:rsid w:val="000E0E85"/>
    <w:pPr>
      <w:spacing w:line="240" w:lineRule="auto"/>
    </w:pPr>
    <w:rPr>
      <w:rFonts w:eastAsia="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0E0E85"/>
    <w:pPr>
      <w:spacing w:before="60" w:after="60" w:line="240" w:lineRule="auto"/>
      <w:jc w:val="both"/>
    </w:pPr>
    <w:rPr>
      <w:rFonts w:eastAsia="Times New Roman" w:cs="Times New Roman"/>
      <w:szCs w:val="20"/>
      <w:lang w:val="en-GB" w:eastAsia="en-US"/>
    </w:rPr>
  </w:style>
  <w:style w:type="paragraph" w:styleId="Header">
    <w:name w:val="header"/>
    <w:basedOn w:val="Normal"/>
    <w:link w:val="HeaderChar"/>
    <w:semiHidden/>
    <w:rsid w:val="000E0E85"/>
    <w:pPr>
      <w:tabs>
        <w:tab w:val="center" w:pos="4153"/>
        <w:tab w:val="right" w:pos="8306"/>
      </w:tabs>
      <w:spacing w:line="240" w:lineRule="auto"/>
    </w:pPr>
    <w:rPr>
      <w:rFonts w:eastAsia="Times New Roman" w:cs="Times New Roman"/>
      <w:szCs w:val="24"/>
      <w:lang w:val="en-GB" w:eastAsia="en-US"/>
    </w:rPr>
  </w:style>
  <w:style w:type="character" w:customStyle="1" w:styleId="HeaderChar">
    <w:name w:val="Header Char"/>
    <w:basedOn w:val="DefaultParagraphFont"/>
    <w:link w:val="Header"/>
    <w:semiHidden/>
    <w:rsid w:val="000E0E85"/>
    <w:rPr>
      <w:rFonts w:eastAsia="Times New Roman" w:cs="Times New Roman"/>
      <w:szCs w:val="24"/>
      <w:lang w:val="en-GB" w:eastAsia="en-US"/>
    </w:rPr>
  </w:style>
  <w:style w:type="paragraph" w:styleId="BodyText2">
    <w:name w:val="Body Text 2"/>
    <w:basedOn w:val="BodyText"/>
    <w:link w:val="BodyText2Char"/>
    <w:qFormat/>
    <w:rsid w:val="000E0E85"/>
    <w:pPr>
      <w:ind w:left="709"/>
    </w:pPr>
  </w:style>
  <w:style w:type="character" w:customStyle="1" w:styleId="BodyText2Char">
    <w:name w:val="Body Text 2 Char"/>
    <w:basedOn w:val="DefaultParagraphFont"/>
    <w:link w:val="BodyText2"/>
    <w:rsid w:val="000E0E85"/>
    <w:rPr>
      <w:rFonts w:eastAsia="Times New Roman" w:cs="Times New Roman"/>
      <w:szCs w:val="24"/>
      <w:lang w:val="en-GB" w:eastAsia="en-US"/>
    </w:rPr>
  </w:style>
  <w:style w:type="paragraph" w:customStyle="1" w:styleId="ScheduleLevelHeading1">
    <w:name w:val="Schedule Level Heading 1"/>
    <w:basedOn w:val="Schedule1"/>
    <w:next w:val="BodyText1"/>
    <w:qFormat/>
    <w:rsid w:val="000E0E85"/>
    <w:pPr>
      <w:keepNext/>
    </w:pPr>
    <w:rPr>
      <w:b/>
      <w:caps/>
    </w:rPr>
  </w:style>
  <w:style w:type="paragraph" w:customStyle="1" w:styleId="ScheduleLevelHeading2">
    <w:name w:val="Schedule Level Heading 2"/>
    <w:basedOn w:val="Schedule2"/>
    <w:next w:val="BodyText2"/>
    <w:qFormat/>
    <w:rsid w:val="000E0E85"/>
    <w:rPr>
      <w:b/>
    </w:rPr>
  </w:style>
  <w:style w:type="paragraph" w:customStyle="1" w:styleId="RestartNumberingS1SLH1">
    <w:name w:val="Restart Numbering (S1 &amp; SLH1)"/>
    <w:basedOn w:val="BodyText"/>
    <w:semiHidden/>
    <w:rsid w:val="000E0E85"/>
    <w:pPr>
      <w:numPr>
        <w:numId w:val="2"/>
      </w:numPr>
    </w:pPr>
    <w:rPr>
      <w:sz w:val="24"/>
    </w:rPr>
  </w:style>
  <w:style w:type="paragraph" w:customStyle="1" w:styleId="ScheduleheadingMillnet">
    <w:name w:val="Schedule heading Millnet"/>
    <w:basedOn w:val="BodyText"/>
    <w:next w:val="Schedulepart"/>
    <w:qFormat/>
    <w:rsid w:val="000E0E85"/>
    <w:pPr>
      <w:pageBreakBefore/>
      <w:jc w:val="center"/>
    </w:pPr>
    <w:rPr>
      <w:b/>
      <w:color w:val="FFFFFF" w:themeColor="background1"/>
      <w:sz w:val="36"/>
    </w:rPr>
  </w:style>
  <w:style w:type="paragraph" w:customStyle="1" w:styleId="Pageheading">
    <w:name w:val="Page heading"/>
    <w:basedOn w:val="Normal"/>
    <w:qFormat/>
    <w:rsid w:val="000E0E85"/>
    <w:pPr>
      <w:pageBreakBefore/>
      <w:tabs>
        <w:tab w:val="right" w:pos="8471"/>
      </w:tabs>
      <w:spacing w:before="120" w:after="120" w:line="240" w:lineRule="auto"/>
      <w:jc w:val="center"/>
    </w:pPr>
    <w:rPr>
      <w:rFonts w:ascii="Arial Bold" w:eastAsia="Times New Roman" w:hAnsi="Arial Bold" w:cs="Times New Roman"/>
      <w:b/>
      <w:caps/>
      <w:szCs w:val="24"/>
      <w:lang w:val="en-US" w:eastAsia="en-US"/>
    </w:rPr>
  </w:style>
  <w:style w:type="paragraph" w:styleId="FootnoteText">
    <w:name w:val="footnote text"/>
    <w:basedOn w:val="Normal"/>
    <w:link w:val="FootnoteTextChar"/>
    <w:uiPriority w:val="99"/>
    <w:semiHidden/>
    <w:unhideWhenUsed/>
    <w:rsid w:val="000E0E85"/>
    <w:pPr>
      <w:spacing w:line="240" w:lineRule="auto"/>
    </w:pPr>
    <w:rPr>
      <w:rFonts w:eastAsia="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0E0E85"/>
    <w:rPr>
      <w:rFonts w:eastAsia="Times New Roman" w:cs="Times New Roman"/>
      <w:sz w:val="20"/>
      <w:szCs w:val="20"/>
      <w:lang w:val="en-GB" w:eastAsia="en-US"/>
    </w:rPr>
  </w:style>
  <w:style w:type="character" w:styleId="FootnoteReference">
    <w:name w:val="footnote reference"/>
    <w:basedOn w:val="DefaultParagraphFont"/>
    <w:uiPriority w:val="99"/>
    <w:semiHidden/>
    <w:unhideWhenUsed/>
    <w:rsid w:val="000E0E85"/>
    <w:rPr>
      <w:vertAlign w:val="superscript"/>
    </w:rPr>
  </w:style>
  <w:style w:type="paragraph" w:customStyle="1" w:styleId="Bodycalibri11Millnet">
    <w:name w:val="Body calibri 11 Millnet"/>
    <w:basedOn w:val="Normal"/>
    <w:qFormat/>
    <w:rsid w:val="000E0E85"/>
    <w:pPr>
      <w:spacing w:line="240" w:lineRule="auto"/>
    </w:pPr>
    <w:rPr>
      <w:rFonts w:asciiTheme="minorHAnsi" w:eastAsia="Times New Roman" w:hAnsiTheme="minorHAnsi" w:cstheme="minorHAnsi"/>
      <w:szCs w:val="24"/>
      <w:lang w:val="en-GB" w:eastAsia="en-US"/>
    </w:rPr>
  </w:style>
  <w:style w:type="paragraph" w:styleId="BodyText3">
    <w:name w:val="Body Text 3"/>
    <w:basedOn w:val="Normal"/>
    <w:link w:val="BodyText3Char"/>
    <w:uiPriority w:val="99"/>
    <w:semiHidden/>
    <w:unhideWhenUsed/>
    <w:rsid w:val="000E0E85"/>
    <w:pPr>
      <w:spacing w:after="120"/>
    </w:pPr>
    <w:rPr>
      <w:sz w:val="16"/>
      <w:szCs w:val="16"/>
    </w:rPr>
  </w:style>
  <w:style w:type="character" w:customStyle="1" w:styleId="BodyText3Char">
    <w:name w:val="Body Text 3 Char"/>
    <w:basedOn w:val="DefaultParagraphFont"/>
    <w:link w:val="BodyText3"/>
    <w:uiPriority w:val="99"/>
    <w:semiHidden/>
    <w:rsid w:val="000E0E85"/>
    <w:rPr>
      <w:sz w:val="16"/>
      <w:szCs w:val="16"/>
    </w:rPr>
  </w:style>
  <w:style w:type="paragraph" w:styleId="Footer">
    <w:name w:val="footer"/>
    <w:basedOn w:val="Normal"/>
    <w:link w:val="FooterChar"/>
    <w:uiPriority w:val="99"/>
    <w:unhideWhenUsed/>
    <w:rsid w:val="007950D5"/>
    <w:pPr>
      <w:tabs>
        <w:tab w:val="center" w:pos="4513"/>
        <w:tab w:val="right" w:pos="9026"/>
      </w:tabs>
      <w:spacing w:line="240" w:lineRule="auto"/>
    </w:pPr>
  </w:style>
  <w:style w:type="character" w:customStyle="1" w:styleId="FooterChar">
    <w:name w:val="Footer Char"/>
    <w:basedOn w:val="DefaultParagraphFont"/>
    <w:link w:val="Footer"/>
    <w:uiPriority w:val="99"/>
    <w:rsid w:val="007950D5"/>
  </w:style>
  <w:style w:type="paragraph" w:customStyle="1" w:styleId="Definition1">
    <w:name w:val="Definition 1"/>
    <w:basedOn w:val="BodyText2"/>
    <w:qFormat/>
    <w:rsid w:val="005F31D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911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McSweeney</cp:lastModifiedBy>
  <cp:revision>5</cp:revision>
  <dcterms:created xsi:type="dcterms:W3CDTF">2018-11-27T16:58:00Z</dcterms:created>
  <dcterms:modified xsi:type="dcterms:W3CDTF">2018-11-28T15:52:00Z</dcterms:modified>
</cp:coreProperties>
</file>