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5"/>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041"/>
        <w:gridCol w:w="6814"/>
      </w:tblGrid>
      <w:tr w:rsidR="000E0E85" w:rsidRPr="007C392B" w14:paraId="5E6A2488" w14:textId="77777777" w:rsidTr="007950D5">
        <w:tc>
          <w:tcPr>
            <w:tcW w:w="5000" w:type="pct"/>
            <w:gridSpan w:val="2"/>
            <w:shd w:val="clear" w:color="auto" w:fill="FFFFFF" w:themeFill="background1"/>
          </w:tcPr>
          <w:p w14:paraId="6571EBA6" w14:textId="42C6FEE1" w:rsidR="000E0E85" w:rsidRPr="006E25FF" w:rsidRDefault="00DE6072" w:rsidP="007950D5">
            <w:pPr>
              <w:pStyle w:val="ScheduleheadingMillnet"/>
              <w:numPr>
                <w:ilvl w:val="1"/>
                <w:numId w:val="2"/>
              </w:numPr>
              <w:spacing w:before="240"/>
              <w:jc w:val="left"/>
              <w:rPr>
                <w:color w:val="auto"/>
              </w:rPr>
            </w:pPr>
            <w:bookmarkStart w:id="0" w:name="_Toc484593635"/>
            <w:r>
              <w:rPr>
                <w:color w:val="auto"/>
              </w:rPr>
              <w:t xml:space="preserve">Grievance </w:t>
            </w:r>
            <w:r w:rsidR="000E0E85" w:rsidRPr="006E25FF">
              <w:rPr>
                <w:color w:val="auto"/>
              </w:rPr>
              <w:t>Policy</w:t>
            </w:r>
            <w:bookmarkEnd w:id="0"/>
          </w:p>
        </w:tc>
      </w:tr>
      <w:tr w:rsidR="000E0E85" w:rsidRPr="00036CDC" w14:paraId="392B8435" w14:textId="77777777" w:rsidTr="007950D5">
        <w:tc>
          <w:tcPr>
            <w:tcW w:w="1543" w:type="pct"/>
          </w:tcPr>
          <w:p w14:paraId="03B098FF" w14:textId="5980EA3F" w:rsidR="000E0E85" w:rsidRPr="008E0DA4" w:rsidRDefault="007950D5" w:rsidP="007950D5">
            <w:pPr>
              <w:rPr>
                <w:rFonts w:ascii="Calibri" w:eastAsiaTheme="minorEastAsia" w:hAnsi="Calibri"/>
                <w:b/>
                <w:sz w:val="24"/>
                <w:lang w:val="en-US" w:eastAsia="ja-JP"/>
              </w:rPr>
            </w:pPr>
            <w:r>
              <w:rPr>
                <w:rFonts w:ascii="Calibri" w:eastAsiaTheme="minorEastAsia" w:hAnsi="Calibri"/>
                <w:b/>
                <w:sz w:val="24"/>
                <w:lang w:val="en-US" w:eastAsia="ja-JP"/>
              </w:rPr>
              <w:t>Date</w:t>
            </w:r>
          </w:p>
        </w:tc>
        <w:tc>
          <w:tcPr>
            <w:tcW w:w="3457" w:type="pct"/>
          </w:tcPr>
          <w:p w14:paraId="28EA221D" w14:textId="7227F7E5" w:rsidR="000E0E85" w:rsidRPr="008E0DA4" w:rsidRDefault="007950D5" w:rsidP="007950D5">
            <w:pPr>
              <w:rPr>
                <w:rFonts w:ascii="Calibri" w:eastAsiaTheme="minorEastAsia" w:hAnsi="Calibri"/>
                <w:sz w:val="24"/>
                <w:lang w:val="en-US" w:eastAsia="ja-JP"/>
              </w:rPr>
            </w:pPr>
            <w:r>
              <w:rPr>
                <w:rFonts w:ascii="Calibri" w:eastAsiaTheme="minorEastAsia" w:hAnsi="Calibri"/>
                <w:sz w:val="24"/>
                <w:lang w:val="en-US" w:eastAsia="ja-JP"/>
              </w:rPr>
              <w:t>December 2018</w:t>
            </w:r>
          </w:p>
        </w:tc>
      </w:tr>
      <w:tr w:rsidR="000E0E85" w:rsidRPr="00036CDC" w14:paraId="4553D360" w14:textId="77777777" w:rsidTr="007950D5">
        <w:tc>
          <w:tcPr>
            <w:tcW w:w="1543" w:type="pct"/>
          </w:tcPr>
          <w:p w14:paraId="557BBEA4" w14:textId="4B0B7C32" w:rsidR="000E0E85" w:rsidRPr="006B7D46" w:rsidRDefault="007950D5" w:rsidP="007950D5">
            <w:pPr>
              <w:rPr>
                <w:rFonts w:ascii="Calibri" w:hAnsi="Calibri"/>
                <w:b/>
                <w:sz w:val="20"/>
                <w:szCs w:val="20"/>
              </w:rPr>
            </w:pPr>
            <w:r>
              <w:rPr>
                <w:rFonts w:ascii="Calibri" w:eastAsiaTheme="minorEastAsia" w:hAnsi="Calibri"/>
                <w:b/>
                <w:sz w:val="24"/>
                <w:lang w:val="en-US" w:eastAsia="ja-JP"/>
              </w:rPr>
              <w:t>Review</w:t>
            </w:r>
          </w:p>
        </w:tc>
        <w:tc>
          <w:tcPr>
            <w:tcW w:w="3457" w:type="pct"/>
          </w:tcPr>
          <w:p w14:paraId="074D8E2C" w14:textId="51F55DD6" w:rsidR="000E0E85" w:rsidRPr="006B7D46" w:rsidRDefault="007950D5" w:rsidP="007950D5">
            <w:pPr>
              <w:rPr>
                <w:rFonts w:ascii="Calibri" w:hAnsi="Calibri"/>
              </w:rPr>
            </w:pPr>
            <w:r>
              <w:rPr>
                <w:rFonts w:ascii="Calibri" w:eastAsiaTheme="minorEastAsia" w:hAnsi="Calibri"/>
                <w:sz w:val="24"/>
                <w:lang w:val="en-US" w:eastAsia="ja-JP"/>
              </w:rPr>
              <w:t xml:space="preserve">This policy will be reviewed periodically. </w:t>
            </w:r>
          </w:p>
        </w:tc>
      </w:tr>
      <w:tr w:rsidR="000E0E85" w:rsidRPr="00036CDC" w14:paraId="3B78ED14" w14:textId="77777777" w:rsidTr="007950D5">
        <w:tc>
          <w:tcPr>
            <w:tcW w:w="5000" w:type="pct"/>
            <w:gridSpan w:val="2"/>
          </w:tcPr>
          <w:p w14:paraId="3BE0D5DA" w14:textId="77777777" w:rsidR="000E0E85" w:rsidRPr="00036CDC" w:rsidRDefault="000E0E85" w:rsidP="007950D5">
            <w:pPr>
              <w:pStyle w:val="Bodycalibri11Millnet"/>
              <w:rPr>
                <w:szCs w:val="22"/>
              </w:rPr>
            </w:pPr>
          </w:p>
        </w:tc>
      </w:tr>
      <w:tr w:rsidR="000E0E85" w:rsidRPr="00036CDC" w14:paraId="7DE403B6" w14:textId="77777777" w:rsidTr="007950D5">
        <w:tc>
          <w:tcPr>
            <w:tcW w:w="5000" w:type="pct"/>
            <w:gridSpan w:val="2"/>
          </w:tcPr>
          <w:p w14:paraId="387D0135" w14:textId="77777777" w:rsidR="000E0E85" w:rsidRPr="00036CDC" w:rsidRDefault="000E0E85" w:rsidP="007950D5">
            <w:pPr>
              <w:pStyle w:val="Bodycalibri11Millnet"/>
              <w:rPr>
                <w:szCs w:val="22"/>
              </w:rPr>
            </w:pPr>
          </w:p>
          <w:p w14:paraId="2EA43249" w14:textId="77777777" w:rsidR="000E0E85" w:rsidRPr="00036CDC" w:rsidRDefault="000E0E85" w:rsidP="007950D5">
            <w:pPr>
              <w:pStyle w:val="Bodycalibri11Millnet"/>
              <w:rPr>
                <w:b/>
                <w:szCs w:val="22"/>
              </w:rPr>
            </w:pPr>
            <w:r w:rsidRPr="00036CDC">
              <w:rPr>
                <w:b/>
                <w:szCs w:val="22"/>
              </w:rPr>
              <w:t>Contents</w:t>
            </w:r>
          </w:p>
          <w:p w14:paraId="6C29E0CD" w14:textId="77777777" w:rsidR="000E0E85" w:rsidRPr="00036CDC" w:rsidRDefault="000E0E85" w:rsidP="007950D5">
            <w:pPr>
              <w:pStyle w:val="Bodycalibri11Millnet"/>
              <w:rPr>
                <w:szCs w:val="22"/>
              </w:rPr>
            </w:pPr>
          </w:p>
          <w:tbl>
            <w:tblPr>
              <w:tblStyle w:val="TableGrid"/>
              <w:tblW w:w="5000" w:type="pct"/>
              <w:tblLook w:val="04A0" w:firstRow="1" w:lastRow="0" w:firstColumn="1" w:lastColumn="0" w:noHBand="0" w:noVBand="1"/>
            </w:tblPr>
            <w:tblGrid>
              <w:gridCol w:w="547"/>
              <w:gridCol w:w="4225"/>
              <w:gridCol w:w="470"/>
              <w:gridCol w:w="4387"/>
            </w:tblGrid>
            <w:tr w:rsidR="005107D8" w:rsidRPr="00036CDC" w14:paraId="7538D7CC" w14:textId="77777777" w:rsidTr="00544196">
              <w:tc>
                <w:tcPr>
                  <w:tcW w:w="284" w:type="pct"/>
                </w:tcPr>
                <w:p w14:paraId="1DA200DA" w14:textId="7CBBBBFB" w:rsidR="005107D8" w:rsidRPr="00036CDC" w:rsidRDefault="005107D8" w:rsidP="00BC3F65">
                  <w:pPr>
                    <w:pStyle w:val="Bodycalibri11Millnet"/>
                    <w:framePr w:hSpace="180" w:wrap="around" w:hAnchor="margin" w:y="435"/>
                    <w:rPr>
                      <w:szCs w:val="22"/>
                    </w:rPr>
                  </w:pPr>
                  <w:r w:rsidRPr="00F62B5E">
                    <w:rPr>
                      <w:szCs w:val="22"/>
                    </w:rPr>
                    <w:t>1</w:t>
                  </w:r>
                </w:p>
              </w:tc>
              <w:tc>
                <w:tcPr>
                  <w:tcW w:w="2194" w:type="pct"/>
                </w:tcPr>
                <w:p w14:paraId="6B075FB8" w14:textId="492776CE" w:rsidR="005107D8" w:rsidRPr="00036CDC" w:rsidRDefault="005107D8" w:rsidP="00BC3F65">
                  <w:pPr>
                    <w:pStyle w:val="Bodycalibri11Millnet"/>
                    <w:framePr w:hSpace="180" w:wrap="around" w:hAnchor="margin" w:y="435"/>
                    <w:rPr>
                      <w:szCs w:val="22"/>
                    </w:rPr>
                  </w:pPr>
                  <w:r w:rsidRPr="00F62B5E">
                    <w:rPr>
                      <w:szCs w:val="22"/>
                    </w:rPr>
                    <w:t>Purpose and scope</w:t>
                  </w:r>
                </w:p>
              </w:tc>
              <w:tc>
                <w:tcPr>
                  <w:tcW w:w="244" w:type="pct"/>
                </w:tcPr>
                <w:p w14:paraId="14EFFC59" w14:textId="6A1378B3" w:rsidR="005107D8" w:rsidRPr="00036CDC" w:rsidRDefault="005107D8" w:rsidP="00BC3F65">
                  <w:pPr>
                    <w:pStyle w:val="Bodycalibri11Millnet"/>
                    <w:framePr w:hSpace="180" w:wrap="around" w:hAnchor="margin" w:y="435"/>
                    <w:rPr>
                      <w:szCs w:val="22"/>
                    </w:rPr>
                  </w:pPr>
                </w:p>
              </w:tc>
              <w:tc>
                <w:tcPr>
                  <w:tcW w:w="2278" w:type="pct"/>
                </w:tcPr>
                <w:p w14:paraId="55B0A864" w14:textId="0C4910BA" w:rsidR="005107D8" w:rsidRPr="00036CDC" w:rsidRDefault="005107D8" w:rsidP="00BC3F65">
                  <w:pPr>
                    <w:pStyle w:val="Bodycalibri11Millnet"/>
                    <w:framePr w:hSpace="180" w:wrap="around" w:hAnchor="margin" w:y="435"/>
                    <w:rPr>
                      <w:szCs w:val="22"/>
                    </w:rPr>
                  </w:pPr>
                </w:p>
              </w:tc>
            </w:tr>
            <w:tr w:rsidR="005107D8" w:rsidRPr="00036CDC" w14:paraId="0BBB4FF9" w14:textId="77777777" w:rsidTr="00544196">
              <w:tc>
                <w:tcPr>
                  <w:tcW w:w="284" w:type="pct"/>
                </w:tcPr>
                <w:p w14:paraId="20BB944A" w14:textId="0A05A8F6" w:rsidR="005107D8" w:rsidRPr="00036CDC" w:rsidRDefault="005107D8" w:rsidP="00BC3F65">
                  <w:pPr>
                    <w:pStyle w:val="Bodycalibri11Millnet"/>
                    <w:framePr w:hSpace="180" w:wrap="around" w:hAnchor="margin" w:y="435"/>
                    <w:rPr>
                      <w:szCs w:val="22"/>
                    </w:rPr>
                  </w:pPr>
                  <w:r w:rsidRPr="00F62B5E">
                    <w:rPr>
                      <w:szCs w:val="22"/>
                    </w:rPr>
                    <w:t>2</w:t>
                  </w:r>
                </w:p>
              </w:tc>
              <w:tc>
                <w:tcPr>
                  <w:tcW w:w="2194" w:type="pct"/>
                </w:tcPr>
                <w:p w14:paraId="57349301" w14:textId="162F9CF8" w:rsidR="005107D8" w:rsidRPr="00036CDC" w:rsidRDefault="005107D8" w:rsidP="00BC3F65">
                  <w:pPr>
                    <w:pStyle w:val="Bodycalibri11Millnet"/>
                    <w:framePr w:hSpace="180" w:wrap="around" w:hAnchor="margin" w:y="435"/>
                    <w:rPr>
                      <w:szCs w:val="22"/>
                    </w:rPr>
                  </w:pPr>
                  <w:r w:rsidRPr="00F62B5E">
                    <w:rPr>
                      <w:szCs w:val="22"/>
                    </w:rPr>
                    <w:t>Policy statement</w:t>
                  </w:r>
                </w:p>
              </w:tc>
              <w:tc>
                <w:tcPr>
                  <w:tcW w:w="244" w:type="pct"/>
                </w:tcPr>
                <w:p w14:paraId="16F86914" w14:textId="0A152123" w:rsidR="005107D8" w:rsidRPr="00036CDC" w:rsidRDefault="005107D8" w:rsidP="00BC3F65">
                  <w:pPr>
                    <w:pStyle w:val="Bodycalibri11Millnet"/>
                    <w:framePr w:hSpace="180" w:wrap="around" w:hAnchor="margin" w:y="435"/>
                    <w:rPr>
                      <w:szCs w:val="22"/>
                    </w:rPr>
                  </w:pPr>
                </w:p>
              </w:tc>
              <w:tc>
                <w:tcPr>
                  <w:tcW w:w="2278" w:type="pct"/>
                </w:tcPr>
                <w:p w14:paraId="52E3E454" w14:textId="79FA156E" w:rsidR="005107D8" w:rsidRPr="00036CDC" w:rsidRDefault="005107D8" w:rsidP="00BC3F65">
                  <w:pPr>
                    <w:pStyle w:val="Bodycalibri11Millnet"/>
                    <w:framePr w:hSpace="180" w:wrap="around" w:hAnchor="margin" w:y="435"/>
                    <w:rPr>
                      <w:szCs w:val="22"/>
                    </w:rPr>
                  </w:pPr>
                </w:p>
              </w:tc>
            </w:tr>
            <w:tr w:rsidR="005107D8" w:rsidRPr="00036CDC" w14:paraId="26B193E7" w14:textId="77777777" w:rsidTr="00544196">
              <w:tc>
                <w:tcPr>
                  <w:tcW w:w="284" w:type="pct"/>
                </w:tcPr>
                <w:p w14:paraId="2BF7B4B0" w14:textId="3BA58107" w:rsidR="005107D8" w:rsidRPr="00036CDC" w:rsidRDefault="005107D8" w:rsidP="00BC3F65">
                  <w:pPr>
                    <w:pStyle w:val="Bodycalibri11Millnet"/>
                    <w:framePr w:hSpace="180" w:wrap="around" w:hAnchor="margin" w:y="435"/>
                    <w:rPr>
                      <w:szCs w:val="22"/>
                    </w:rPr>
                  </w:pPr>
                  <w:r w:rsidRPr="00F62B5E">
                    <w:rPr>
                      <w:szCs w:val="22"/>
                    </w:rPr>
                    <w:t>3</w:t>
                  </w:r>
                </w:p>
              </w:tc>
              <w:tc>
                <w:tcPr>
                  <w:tcW w:w="2194" w:type="pct"/>
                </w:tcPr>
                <w:p w14:paraId="58DB8460" w14:textId="5753C674" w:rsidR="005107D8" w:rsidRPr="00036CDC" w:rsidRDefault="005107D8" w:rsidP="00BC3F65">
                  <w:pPr>
                    <w:pStyle w:val="Bodycalibri11Millnet"/>
                    <w:framePr w:hSpace="180" w:wrap="around" w:hAnchor="margin" w:y="435"/>
                    <w:rPr>
                      <w:szCs w:val="22"/>
                    </w:rPr>
                  </w:pPr>
                  <w:r w:rsidRPr="00F62B5E">
                    <w:rPr>
                      <w:szCs w:val="22"/>
                    </w:rPr>
                    <w:t>Staff responsibilities</w:t>
                  </w:r>
                </w:p>
              </w:tc>
              <w:tc>
                <w:tcPr>
                  <w:tcW w:w="244" w:type="pct"/>
                </w:tcPr>
                <w:p w14:paraId="787238CE" w14:textId="63D99A8B" w:rsidR="005107D8" w:rsidRPr="00036CDC" w:rsidRDefault="005107D8" w:rsidP="00BC3F65">
                  <w:pPr>
                    <w:pStyle w:val="Bodycalibri11Millnet"/>
                    <w:framePr w:hSpace="180" w:wrap="around" w:hAnchor="margin" w:y="435"/>
                    <w:rPr>
                      <w:szCs w:val="22"/>
                    </w:rPr>
                  </w:pPr>
                </w:p>
              </w:tc>
              <w:tc>
                <w:tcPr>
                  <w:tcW w:w="2278" w:type="pct"/>
                </w:tcPr>
                <w:p w14:paraId="50FA202F" w14:textId="37CA382B" w:rsidR="005107D8" w:rsidRPr="00036CDC" w:rsidRDefault="005107D8" w:rsidP="00BC3F65">
                  <w:pPr>
                    <w:pStyle w:val="Bodycalibri11Millnet"/>
                    <w:framePr w:hSpace="180" w:wrap="around" w:hAnchor="margin" w:y="435"/>
                    <w:rPr>
                      <w:szCs w:val="22"/>
                    </w:rPr>
                  </w:pPr>
                </w:p>
              </w:tc>
            </w:tr>
            <w:tr w:rsidR="005107D8" w:rsidRPr="00036CDC" w14:paraId="5E401EED" w14:textId="77777777" w:rsidTr="00544196">
              <w:tc>
                <w:tcPr>
                  <w:tcW w:w="284" w:type="pct"/>
                </w:tcPr>
                <w:p w14:paraId="0583BCD2" w14:textId="43F132F9" w:rsidR="005107D8" w:rsidRPr="00036CDC" w:rsidRDefault="005107D8" w:rsidP="00BC3F65">
                  <w:pPr>
                    <w:pStyle w:val="Bodycalibri11Millnet"/>
                    <w:framePr w:hSpace="180" w:wrap="around" w:hAnchor="margin" w:y="435"/>
                    <w:rPr>
                      <w:szCs w:val="22"/>
                    </w:rPr>
                  </w:pPr>
                  <w:r w:rsidRPr="00F62B5E">
                    <w:rPr>
                      <w:szCs w:val="22"/>
                    </w:rPr>
                    <w:t>4</w:t>
                  </w:r>
                </w:p>
              </w:tc>
              <w:tc>
                <w:tcPr>
                  <w:tcW w:w="2194" w:type="pct"/>
                </w:tcPr>
                <w:p w14:paraId="29EF64BC" w14:textId="173D4457" w:rsidR="005107D8" w:rsidRPr="00036CDC" w:rsidRDefault="005107D8" w:rsidP="00BC3F65">
                  <w:pPr>
                    <w:pStyle w:val="Bodycalibri11Millnet"/>
                    <w:framePr w:hSpace="180" w:wrap="around" w:hAnchor="margin" w:y="435"/>
                    <w:rPr>
                      <w:szCs w:val="22"/>
                    </w:rPr>
                  </w:pPr>
                  <w:r w:rsidRPr="00F62B5E">
                    <w:rPr>
                      <w:szCs w:val="22"/>
                    </w:rPr>
                    <w:t>Employer responsibilities</w:t>
                  </w:r>
                </w:p>
              </w:tc>
              <w:tc>
                <w:tcPr>
                  <w:tcW w:w="244" w:type="pct"/>
                </w:tcPr>
                <w:p w14:paraId="5FF84CB9" w14:textId="5AC31F1F" w:rsidR="005107D8" w:rsidRPr="00036CDC" w:rsidRDefault="005107D8" w:rsidP="00BC3F65">
                  <w:pPr>
                    <w:pStyle w:val="Bodycalibri11Millnet"/>
                    <w:framePr w:hSpace="180" w:wrap="around" w:hAnchor="margin" w:y="435"/>
                    <w:rPr>
                      <w:szCs w:val="22"/>
                    </w:rPr>
                  </w:pPr>
                </w:p>
              </w:tc>
              <w:tc>
                <w:tcPr>
                  <w:tcW w:w="2278" w:type="pct"/>
                </w:tcPr>
                <w:p w14:paraId="53A43989" w14:textId="0AEA54C7" w:rsidR="005107D8" w:rsidRPr="00036CDC" w:rsidRDefault="005107D8" w:rsidP="00BC3F65">
                  <w:pPr>
                    <w:pStyle w:val="Bodycalibri11Millnet"/>
                    <w:framePr w:hSpace="180" w:wrap="around" w:hAnchor="margin" w:y="435"/>
                    <w:rPr>
                      <w:szCs w:val="22"/>
                    </w:rPr>
                  </w:pPr>
                </w:p>
              </w:tc>
            </w:tr>
            <w:tr w:rsidR="005107D8" w:rsidRPr="00036CDC" w14:paraId="0DAA760B" w14:textId="77777777" w:rsidTr="00544196">
              <w:tc>
                <w:tcPr>
                  <w:tcW w:w="284" w:type="pct"/>
                </w:tcPr>
                <w:p w14:paraId="5CEF41FD" w14:textId="247374D4" w:rsidR="005107D8" w:rsidRPr="00036CDC" w:rsidRDefault="005107D8" w:rsidP="00BC3F65">
                  <w:pPr>
                    <w:pStyle w:val="Bodycalibri11Millnet"/>
                    <w:framePr w:hSpace="180" w:wrap="around" w:hAnchor="margin" w:y="435"/>
                    <w:rPr>
                      <w:szCs w:val="22"/>
                    </w:rPr>
                  </w:pPr>
                  <w:r w:rsidRPr="00F62B5E">
                    <w:rPr>
                      <w:szCs w:val="22"/>
                    </w:rPr>
                    <w:t>5</w:t>
                  </w:r>
                </w:p>
              </w:tc>
              <w:tc>
                <w:tcPr>
                  <w:tcW w:w="2194" w:type="pct"/>
                </w:tcPr>
                <w:p w14:paraId="61C36338" w14:textId="7C55BDD5" w:rsidR="005107D8" w:rsidRPr="00036CDC" w:rsidRDefault="005107D8" w:rsidP="00BC3F65">
                  <w:pPr>
                    <w:pStyle w:val="Bodycalibri11Millnet"/>
                    <w:framePr w:hSpace="180" w:wrap="around" w:hAnchor="margin" w:y="435"/>
                    <w:rPr>
                      <w:szCs w:val="22"/>
                    </w:rPr>
                  </w:pPr>
                  <w:r w:rsidRPr="00F62B5E">
                    <w:rPr>
                      <w:szCs w:val="22"/>
                    </w:rPr>
                    <w:t>Process</w:t>
                  </w:r>
                </w:p>
              </w:tc>
              <w:tc>
                <w:tcPr>
                  <w:tcW w:w="244" w:type="pct"/>
                </w:tcPr>
                <w:p w14:paraId="1FC25328" w14:textId="26AD4FC5" w:rsidR="005107D8" w:rsidRPr="00036CDC" w:rsidRDefault="005107D8" w:rsidP="00BC3F65">
                  <w:pPr>
                    <w:pStyle w:val="Bodycalibri11Millnet"/>
                    <w:framePr w:hSpace="180" w:wrap="around" w:hAnchor="margin" w:y="435"/>
                    <w:rPr>
                      <w:szCs w:val="22"/>
                    </w:rPr>
                  </w:pPr>
                </w:p>
              </w:tc>
              <w:tc>
                <w:tcPr>
                  <w:tcW w:w="2278" w:type="pct"/>
                </w:tcPr>
                <w:p w14:paraId="7CFCEA03" w14:textId="70F29E3C" w:rsidR="005107D8" w:rsidRPr="00036CDC" w:rsidRDefault="005107D8" w:rsidP="00BC3F65">
                  <w:pPr>
                    <w:pStyle w:val="Bodycalibri11Millnet"/>
                    <w:framePr w:hSpace="180" w:wrap="around" w:hAnchor="margin" w:y="435"/>
                    <w:rPr>
                      <w:szCs w:val="22"/>
                    </w:rPr>
                  </w:pPr>
                </w:p>
              </w:tc>
            </w:tr>
            <w:tr w:rsidR="005107D8" w:rsidRPr="00036CDC" w14:paraId="50E713DF" w14:textId="77777777" w:rsidTr="00544196">
              <w:tc>
                <w:tcPr>
                  <w:tcW w:w="284" w:type="pct"/>
                </w:tcPr>
                <w:p w14:paraId="5F7F4EB3" w14:textId="006085E6" w:rsidR="005107D8" w:rsidRPr="00036CDC" w:rsidRDefault="005107D8" w:rsidP="00BC3F65">
                  <w:pPr>
                    <w:pStyle w:val="Bodycalibri11Millnet"/>
                    <w:framePr w:hSpace="180" w:wrap="around" w:hAnchor="margin" w:y="435"/>
                    <w:rPr>
                      <w:szCs w:val="22"/>
                    </w:rPr>
                  </w:pPr>
                  <w:r>
                    <w:rPr>
                      <w:szCs w:val="22"/>
                    </w:rPr>
                    <w:t>6</w:t>
                  </w:r>
                </w:p>
              </w:tc>
              <w:tc>
                <w:tcPr>
                  <w:tcW w:w="2194" w:type="pct"/>
                </w:tcPr>
                <w:p w14:paraId="31FB068A" w14:textId="11FD833A" w:rsidR="005107D8" w:rsidRPr="00036CDC" w:rsidRDefault="005107D8" w:rsidP="00BC3F65">
                  <w:pPr>
                    <w:pStyle w:val="Bodycalibri11Millnet"/>
                    <w:framePr w:hSpace="180" w:wrap="around" w:hAnchor="margin" w:y="435"/>
                    <w:rPr>
                      <w:szCs w:val="22"/>
                    </w:rPr>
                  </w:pPr>
                  <w:r w:rsidRPr="00F62B5E">
                    <w:rPr>
                      <w:szCs w:val="22"/>
                    </w:rPr>
                    <w:t>Overlapping grievance and disciplinary cases</w:t>
                  </w:r>
                </w:p>
              </w:tc>
              <w:tc>
                <w:tcPr>
                  <w:tcW w:w="244" w:type="pct"/>
                </w:tcPr>
                <w:p w14:paraId="0636A9FD" w14:textId="7CC81D45" w:rsidR="005107D8" w:rsidRPr="00036CDC" w:rsidRDefault="005107D8" w:rsidP="00BC3F65">
                  <w:pPr>
                    <w:pStyle w:val="Bodycalibri11Millnet"/>
                    <w:framePr w:hSpace="180" w:wrap="around" w:hAnchor="margin" w:y="435"/>
                    <w:rPr>
                      <w:szCs w:val="22"/>
                    </w:rPr>
                  </w:pPr>
                </w:p>
              </w:tc>
              <w:tc>
                <w:tcPr>
                  <w:tcW w:w="2278" w:type="pct"/>
                </w:tcPr>
                <w:p w14:paraId="7A23F7D1" w14:textId="6D7A02BE" w:rsidR="005107D8" w:rsidRPr="00036CDC" w:rsidRDefault="005107D8" w:rsidP="00BC3F65">
                  <w:pPr>
                    <w:pStyle w:val="Bodycalibri11Millnet"/>
                    <w:framePr w:hSpace="180" w:wrap="around" w:hAnchor="margin" w:y="435"/>
                    <w:rPr>
                      <w:szCs w:val="22"/>
                    </w:rPr>
                  </w:pPr>
                </w:p>
              </w:tc>
            </w:tr>
            <w:tr w:rsidR="005107D8" w:rsidRPr="00036CDC" w14:paraId="38E9B581" w14:textId="77777777" w:rsidTr="00544196">
              <w:tc>
                <w:tcPr>
                  <w:tcW w:w="284" w:type="pct"/>
                </w:tcPr>
                <w:p w14:paraId="4BF23118" w14:textId="12CE98D7" w:rsidR="005107D8" w:rsidRPr="00036CDC" w:rsidRDefault="005107D8" w:rsidP="00BC3F65">
                  <w:pPr>
                    <w:pStyle w:val="Bodycalibri11Millnet"/>
                    <w:framePr w:hSpace="180" w:wrap="around" w:hAnchor="margin" w:y="435"/>
                    <w:rPr>
                      <w:szCs w:val="22"/>
                    </w:rPr>
                  </w:pPr>
                </w:p>
              </w:tc>
              <w:tc>
                <w:tcPr>
                  <w:tcW w:w="2194" w:type="pct"/>
                </w:tcPr>
                <w:p w14:paraId="255252D1" w14:textId="2741650E" w:rsidR="005107D8" w:rsidRPr="00036CDC" w:rsidRDefault="005107D8" w:rsidP="00BC3F65">
                  <w:pPr>
                    <w:pStyle w:val="Bodycalibri11Millnet"/>
                    <w:framePr w:hSpace="180" w:wrap="around" w:hAnchor="margin" w:y="435"/>
                    <w:rPr>
                      <w:szCs w:val="22"/>
                    </w:rPr>
                  </w:pPr>
                </w:p>
              </w:tc>
              <w:tc>
                <w:tcPr>
                  <w:tcW w:w="244" w:type="pct"/>
                </w:tcPr>
                <w:p w14:paraId="623FE162" w14:textId="5F6B023A" w:rsidR="005107D8" w:rsidRPr="00036CDC" w:rsidRDefault="005107D8" w:rsidP="00BC3F65">
                  <w:pPr>
                    <w:pStyle w:val="Bodycalibri11Millnet"/>
                    <w:framePr w:hSpace="180" w:wrap="around" w:hAnchor="margin" w:y="435"/>
                    <w:rPr>
                      <w:szCs w:val="22"/>
                    </w:rPr>
                  </w:pPr>
                </w:p>
              </w:tc>
              <w:tc>
                <w:tcPr>
                  <w:tcW w:w="2278" w:type="pct"/>
                </w:tcPr>
                <w:p w14:paraId="47B6550D" w14:textId="352173FA" w:rsidR="005107D8" w:rsidRPr="00036CDC" w:rsidRDefault="005107D8" w:rsidP="00BC3F65">
                  <w:pPr>
                    <w:pStyle w:val="Bodycalibri11Millnet"/>
                    <w:framePr w:hSpace="180" w:wrap="around" w:hAnchor="margin" w:y="435"/>
                    <w:rPr>
                      <w:szCs w:val="22"/>
                    </w:rPr>
                  </w:pPr>
                </w:p>
              </w:tc>
            </w:tr>
            <w:tr w:rsidR="005107D8" w:rsidRPr="00036CDC" w14:paraId="19A5984C" w14:textId="77777777" w:rsidTr="00544196">
              <w:tc>
                <w:tcPr>
                  <w:tcW w:w="284" w:type="pct"/>
                </w:tcPr>
                <w:p w14:paraId="78E4F146" w14:textId="57370323" w:rsidR="005107D8" w:rsidRPr="00036CDC" w:rsidRDefault="005107D8" w:rsidP="00BC3F65">
                  <w:pPr>
                    <w:pStyle w:val="Bodycalibri11Millnet"/>
                    <w:framePr w:hSpace="180" w:wrap="around" w:hAnchor="margin" w:y="435"/>
                    <w:rPr>
                      <w:szCs w:val="22"/>
                    </w:rPr>
                  </w:pPr>
                </w:p>
              </w:tc>
              <w:tc>
                <w:tcPr>
                  <w:tcW w:w="2194" w:type="pct"/>
                </w:tcPr>
                <w:p w14:paraId="0208FB5A" w14:textId="1ACA1FEA" w:rsidR="005107D8" w:rsidRPr="00036CDC" w:rsidRDefault="005107D8" w:rsidP="00BC3F65">
                  <w:pPr>
                    <w:pStyle w:val="Bodycalibri11Millnet"/>
                    <w:framePr w:hSpace="180" w:wrap="around" w:hAnchor="margin" w:y="435"/>
                    <w:rPr>
                      <w:szCs w:val="22"/>
                    </w:rPr>
                  </w:pPr>
                </w:p>
              </w:tc>
              <w:tc>
                <w:tcPr>
                  <w:tcW w:w="244" w:type="pct"/>
                </w:tcPr>
                <w:p w14:paraId="2D9F54FB" w14:textId="77777777" w:rsidR="005107D8" w:rsidRPr="00036CDC" w:rsidRDefault="005107D8" w:rsidP="00BC3F65">
                  <w:pPr>
                    <w:pStyle w:val="Bodycalibri11Millnet"/>
                    <w:framePr w:hSpace="180" w:wrap="around" w:hAnchor="margin" w:y="435"/>
                    <w:rPr>
                      <w:szCs w:val="22"/>
                    </w:rPr>
                  </w:pPr>
                </w:p>
              </w:tc>
              <w:tc>
                <w:tcPr>
                  <w:tcW w:w="2278" w:type="pct"/>
                </w:tcPr>
                <w:p w14:paraId="548BFE3F" w14:textId="77777777" w:rsidR="005107D8" w:rsidRPr="00036CDC" w:rsidRDefault="005107D8" w:rsidP="00BC3F65">
                  <w:pPr>
                    <w:pStyle w:val="Bodycalibri11Millnet"/>
                    <w:framePr w:hSpace="180" w:wrap="around" w:hAnchor="margin" w:y="435"/>
                    <w:rPr>
                      <w:szCs w:val="22"/>
                    </w:rPr>
                  </w:pPr>
                </w:p>
              </w:tc>
            </w:tr>
          </w:tbl>
          <w:p w14:paraId="00D0542F" w14:textId="77777777" w:rsidR="000E0E85" w:rsidRPr="00036CDC" w:rsidRDefault="000E0E85" w:rsidP="007950D5">
            <w:pPr>
              <w:pStyle w:val="Bodycalibri11Millnet"/>
              <w:rPr>
                <w:szCs w:val="22"/>
              </w:rPr>
            </w:pPr>
          </w:p>
          <w:p w14:paraId="533A47DE" w14:textId="77777777" w:rsidR="000E0E85" w:rsidRPr="00036CDC" w:rsidRDefault="000E0E85" w:rsidP="007950D5">
            <w:pPr>
              <w:pStyle w:val="Bodycalibri11Millnet"/>
              <w:rPr>
                <w:szCs w:val="22"/>
              </w:rPr>
            </w:pPr>
          </w:p>
        </w:tc>
      </w:tr>
    </w:tbl>
    <w:p w14:paraId="2F6F5049" w14:textId="77777777" w:rsidR="000E0E85" w:rsidRDefault="000E0E85" w:rsidP="000E0E85">
      <w:pPr>
        <w:spacing w:after="200"/>
        <w:sectPr w:rsidR="000E0E85" w:rsidSect="00D34CEE">
          <w:headerReference w:type="default" r:id="rId7"/>
          <w:pgSz w:w="11907" w:h="16840" w:code="9"/>
          <w:pgMar w:top="1418" w:right="1134" w:bottom="1418" w:left="1134" w:header="709" w:footer="709" w:gutter="0"/>
          <w:cols w:space="720"/>
          <w:docGrid w:linePitch="360"/>
        </w:sectPr>
      </w:pPr>
    </w:p>
    <w:p w14:paraId="45DED67E" w14:textId="77777777" w:rsidR="00BC3F65" w:rsidRPr="00BC3F65" w:rsidRDefault="00BC3F65" w:rsidP="00BC3F65">
      <w:pPr>
        <w:pStyle w:val="RestartNumberingS1SLH1"/>
        <w:jc w:val="left"/>
        <w:rPr>
          <w:b/>
        </w:rPr>
      </w:pPr>
      <w:bookmarkStart w:id="1" w:name="_Toc484593721"/>
      <w:r w:rsidRPr="00BC3F65">
        <w:rPr>
          <w:b/>
        </w:rPr>
        <w:lastRenderedPageBreak/>
        <w:t>This policy applies to all Board members, employees and casual workers henceforth referred t</w:t>
      </w:r>
      <w:bookmarkStart w:id="2" w:name="_GoBack"/>
      <w:bookmarkEnd w:id="2"/>
      <w:r w:rsidRPr="00BC3F65">
        <w:rPr>
          <w:b/>
        </w:rPr>
        <w:t>o as the Staff of Sadeh.</w:t>
      </w:r>
    </w:p>
    <w:p w14:paraId="0751381E" w14:textId="77777777" w:rsidR="005107D8" w:rsidRDefault="005107D8" w:rsidP="005107D8">
      <w:pPr>
        <w:pStyle w:val="ScheduleLevelHeading1"/>
      </w:pPr>
      <w:r>
        <w:t>Purpose and scope</w:t>
      </w:r>
      <w:bookmarkEnd w:id="1"/>
    </w:p>
    <w:p w14:paraId="51E2935D" w14:textId="563DD5E4" w:rsidR="005107D8" w:rsidRDefault="005107D8" w:rsidP="005107D8">
      <w:pPr>
        <w:pStyle w:val="BodyText1"/>
      </w:pPr>
      <w:r>
        <w:t>The grievance policy is designed for dealing with any concerns, complaints or problems affecting Staff including the application or interpretation of Sadeh's conditions of employment, new work practices, health and safety, work colleagues and organisational changes.  The following procedure will provide a mechanism for any grievance to be dealt with without unreasonable delay.</w:t>
      </w:r>
    </w:p>
    <w:p w14:paraId="7C3C4706" w14:textId="77777777" w:rsidR="005107D8" w:rsidRDefault="005107D8" w:rsidP="005107D8">
      <w:pPr>
        <w:pStyle w:val="ScheduleLevelHeading1"/>
      </w:pPr>
      <w:bookmarkStart w:id="3" w:name="_Toc484593722"/>
      <w:r>
        <w:t>Policy statement</w:t>
      </w:r>
      <w:bookmarkEnd w:id="3"/>
    </w:p>
    <w:p w14:paraId="2F7DB521" w14:textId="3E1BBD3B" w:rsidR="005107D8" w:rsidRDefault="005107D8" w:rsidP="005107D8">
      <w:pPr>
        <w:pStyle w:val="Schedule2"/>
      </w:pPr>
      <w:r>
        <w:t>All complaints and grievances will normally be dealt with within the time scales stated below.  Both the Staff member and Sadeh should endeavour to reach an agreement as soon as possible.</w:t>
      </w:r>
    </w:p>
    <w:tbl>
      <w:tblPr>
        <w:tblStyle w:val="TableGrid"/>
        <w:tblW w:w="0" w:type="auto"/>
        <w:tblInd w:w="709" w:type="dxa"/>
        <w:tblLook w:val="04A0" w:firstRow="1" w:lastRow="0" w:firstColumn="1" w:lastColumn="0" w:noHBand="0" w:noVBand="1"/>
      </w:tblPr>
      <w:tblGrid>
        <w:gridCol w:w="4266"/>
        <w:gridCol w:w="4267"/>
      </w:tblGrid>
      <w:tr w:rsidR="005107D8" w:rsidRPr="00AF7E5D" w14:paraId="552A568B" w14:textId="77777777" w:rsidTr="004A7105">
        <w:tc>
          <w:tcPr>
            <w:tcW w:w="4266" w:type="dxa"/>
          </w:tcPr>
          <w:p w14:paraId="049A87E3" w14:textId="77777777" w:rsidR="005107D8" w:rsidRPr="00AF7E5D" w:rsidRDefault="005107D8" w:rsidP="004A7105">
            <w:pPr>
              <w:pStyle w:val="Tabletext"/>
            </w:pPr>
            <w:r w:rsidRPr="00AF7E5D">
              <w:t>Once the grievance/appeal has been raised</w:t>
            </w:r>
          </w:p>
        </w:tc>
        <w:tc>
          <w:tcPr>
            <w:tcW w:w="4267" w:type="dxa"/>
          </w:tcPr>
          <w:p w14:paraId="375BBB39" w14:textId="77777777" w:rsidR="005107D8" w:rsidRPr="00AF7E5D" w:rsidRDefault="005107D8" w:rsidP="004A7105">
            <w:pPr>
              <w:pStyle w:val="Tabletext"/>
            </w:pPr>
            <w:r w:rsidRPr="00AF7E5D">
              <w:t>Hearing date to normally be notified to the employee within 10 working days</w:t>
            </w:r>
          </w:p>
        </w:tc>
      </w:tr>
      <w:tr w:rsidR="005107D8" w:rsidRPr="00AF7E5D" w14:paraId="0196C573" w14:textId="77777777" w:rsidTr="004A7105">
        <w:tc>
          <w:tcPr>
            <w:tcW w:w="4266" w:type="dxa"/>
          </w:tcPr>
          <w:p w14:paraId="5446EE5B" w14:textId="77777777" w:rsidR="005107D8" w:rsidRPr="00AF7E5D" w:rsidRDefault="005107D8" w:rsidP="004A7105">
            <w:pPr>
              <w:pStyle w:val="Tabletext"/>
            </w:pPr>
            <w:r w:rsidRPr="00AF7E5D">
              <w:t>If the Staff member is unable to make the hearing</w:t>
            </w:r>
            <w:r>
              <w:t xml:space="preserve">.  </w:t>
            </w:r>
          </w:p>
        </w:tc>
        <w:tc>
          <w:tcPr>
            <w:tcW w:w="4267" w:type="dxa"/>
          </w:tcPr>
          <w:p w14:paraId="40330D6C" w14:textId="77777777" w:rsidR="005107D8" w:rsidRPr="00AF7E5D" w:rsidRDefault="005107D8" w:rsidP="004A7105">
            <w:pPr>
              <w:pStyle w:val="Tabletext"/>
            </w:pPr>
            <w:r w:rsidRPr="00AF7E5D">
              <w:t>Staff member to offer an alternative date normally within 5 working days of the original hearing date.</w:t>
            </w:r>
          </w:p>
        </w:tc>
      </w:tr>
      <w:tr w:rsidR="005107D8" w:rsidRPr="00AF7E5D" w14:paraId="13D1029A" w14:textId="77777777" w:rsidTr="004A7105">
        <w:tc>
          <w:tcPr>
            <w:tcW w:w="4266" w:type="dxa"/>
          </w:tcPr>
          <w:p w14:paraId="10217EC2" w14:textId="77777777" w:rsidR="005107D8" w:rsidRPr="00AF7E5D" w:rsidRDefault="005107D8" w:rsidP="004A7105">
            <w:pPr>
              <w:pStyle w:val="Tabletext"/>
            </w:pPr>
            <w:r w:rsidRPr="00AF7E5D">
              <w:t>Written record of outcome of the hearing</w:t>
            </w:r>
          </w:p>
        </w:tc>
        <w:tc>
          <w:tcPr>
            <w:tcW w:w="4267" w:type="dxa"/>
          </w:tcPr>
          <w:p w14:paraId="700891DF" w14:textId="6DAE48A8" w:rsidR="005107D8" w:rsidRPr="00AF7E5D" w:rsidRDefault="005107D8" w:rsidP="004A7105">
            <w:pPr>
              <w:pStyle w:val="Tabletext"/>
            </w:pPr>
            <w:r w:rsidRPr="00AF7E5D">
              <w:t xml:space="preserve">Provided by </w:t>
            </w:r>
            <w:r>
              <w:t>Sadeh</w:t>
            </w:r>
            <w:r w:rsidRPr="00AF7E5D">
              <w:t xml:space="preserve"> normally within 10 working days</w:t>
            </w:r>
          </w:p>
        </w:tc>
      </w:tr>
    </w:tbl>
    <w:p w14:paraId="545D7D13" w14:textId="77777777" w:rsidR="005107D8" w:rsidRPr="00591534" w:rsidRDefault="005107D8" w:rsidP="005107D8"/>
    <w:p w14:paraId="21942569" w14:textId="21D1E571" w:rsidR="005107D8" w:rsidRDefault="005107D8" w:rsidP="005107D8">
      <w:pPr>
        <w:pStyle w:val="BodyText2"/>
      </w:pPr>
      <w:r>
        <w:t>If it is not possible to respond to the above time scales, Sadeh will explain why to the Staff member and inform them of the required extension period.</w:t>
      </w:r>
    </w:p>
    <w:p w14:paraId="4B6BE903" w14:textId="3D8628E9" w:rsidR="005107D8" w:rsidRDefault="005107D8" w:rsidP="005107D8">
      <w:pPr>
        <w:pStyle w:val="BodyText2"/>
      </w:pPr>
      <w:r>
        <w:t xml:space="preserve">In each case of a grievance complaint being initiated, Sadeh will endeavour to complete the entire procedure within 28 days.  This may not always be possible due to </w:t>
      </w:r>
      <w:proofErr w:type="gramStart"/>
      <w:r>
        <w:t>a number of</w:t>
      </w:r>
      <w:proofErr w:type="gramEnd"/>
      <w:r>
        <w:t xml:space="preserve"> factors </w:t>
      </w:r>
      <w:proofErr w:type="spellStart"/>
      <w:r>
        <w:t>eg</w:t>
      </w:r>
      <w:proofErr w:type="spellEnd"/>
      <w:r>
        <w:t xml:space="preserve"> Staff member holidays etc.  </w:t>
      </w:r>
    </w:p>
    <w:p w14:paraId="05D6F6F4" w14:textId="412A885A" w:rsidR="005107D8" w:rsidRDefault="005107D8" w:rsidP="005107D8">
      <w:pPr>
        <w:pStyle w:val="Schedule2"/>
      </w:pPr>
      <w:r>
        <w:t>This procedure is designed to ensure that all Staff in Sadeh are treated fairly and consistently if they raise a complaint or grievance.</w:t>
      </w:r>
    </w:p>
    <w:p w14:paraId="22CCA078" w14:textId="3823A3CF" w:rsidR="005107D8" w:rsidRDefault="005107D8" w:rsidP="005107D8">
      <w:pPr>
        <w:pStyle w:val="Schedule2"/>
      </w:pPr>
      <w:r>
        <w:t xml:space="preserve">At all stages in the formal grievance procedure, the Staff member has the right to be accompanied to a grievance hearing by a work colleague, a Trade Union representative or an official employed by a Trade Union.  The companion </w:t>
      </w:r>
      <w:proofErr w:type="gramStart"/>
      <w:r>
        <w:t>is allowed to</w:t>
      </w:r>
      <w:proofErr w:type="gramEnd"/>
      <w:r>
        <w:t xml:space="preserve"> address the hearing to put and sum up the Staff member’s case, respond on behalf of the Staff member to any views expressed and confer with the Staff member during the meeting.  The companion does not, however, have the right to answer questions on behalf of the Staff member, address the hearing if the Staff member does not wish it or prevent the employer from explaining their case.</w:t>
      </w:r>
    </w:p>
    <w:p w14:paraId="1F34ED6B" w14:textId="77777777" w:rsidR="005107D8" w:rsidRDefault="005107D8" w:rsidP="005107D8">
      <w:pPr>
        <w:pStyle w:val="ScheduleLevelHeading1"/>
      </w:pPr>
      <w:bookmarkStart w:id="4" w:name="_Toc484593723"/>
      <w:r>
        <w:t>Staff Responsibilities</w:t>
      </w:r>
      <w:bookmarkEnd w:id="4"/>
    </w:p>
    <w:p w14:paraId="4C84E2D5" w14:textId="77777777" w:rsidR="005107D8" w:rsidRDefault="005107D8" w:rsidP="005107D8">
      <w:pPr>
        <w:pStyle w:val="Schedule2"/>
      </w:pPr>
      <w:r>
        <w:t>Staff should make every effort to assist with a smooth and timely process.</w:t>
      </w:r>
    </w:p>
    <w:p w14:paraId="20FEF1BA" w14:textId="77777777" w:rsidR="005107D8" w:rsidRDefault="005107D8" w:rsidP="005107D8">
      <w:pPr>
        <w:pStyle w:val="Schedule2"/>
      </w:pPr>
      <w:r>
        <w:t>Fellow colleagues or Trade Union officials have no duty to accept a request to accompany an employee to a grievance hearing.  No pressure should be brought on a person who does not wish to act as a companion at a hearing.</w:t>
      </w:r>
    </w:p>
    <w:p w14:paraId="6F8C3912" w14:textId="77777777" w:rsidR="005107D8" w:rsidRDefault="005107D8" w:rsidP="005107D8">
      <w:pPr>
        <w:pStyle w:val="ScheduleLevelHeading1"/>
      </w:pPr>
      <w:bookmarkStart w:id="5" w:name="_Toc484593724"/>
      <w:r>
        <w:lastRenderedPageBreak/>
        <w:t>Employer Responsibilities</w:t>
      </w:r>
      <w:bookmarkEnd w:id="5"/>
    </w:p>
    <w:p w14:paraId="717652D5" w14:textId="66B06F04" w:rsidR="005107D8" w:rsidRDefault="005107D8" w:rsidP="005107D8">
      <w:pPr>
        <w:pStyle w:val="Schedule2"/>
      </w:pPr>
      <w:r>
        <w:t>Sadeh will ensure that the Staff member is advised of their right to be accompanied and the right of appeal.</w:t>
      </w:r>
    </w:p>
    <w:p w14:paraId="6354B9C6" w14:textId="77777777" w:rsidR="005107D8" w:rsidRDefault="005107D8" w:rsidP="005107D8">
      <w:pPr>
        <w:pStyle w:val="Schedule2"/>
      </w:pPr>
      <w:r>
        <w:t>At each stage of the grievance procedure the Staff member will be given every opportunity to state his/her case fully.</w:t>
      </w:r>
    </w:p>
    <w:p w14:paraId="4467DFA2" w14:textId="77777777" w:rsidR="005107D8" w:rsidRDefault="005107D8" w:rsidP="005107D8">
      <w:pPr>
        <w:pStyle w:val="Schedule2"/>
      </w:pPr>
      <w:r>
        <w:t>The line manager or equivalent hearing the grievance should ensure that any investigations that may be appropriate are undertaken.</w:t>
      </w:r>
    </w:p>
    <w:p w14:paraId="5FFB299C" w14:textId="77777777" w:rsidR="005107D8" w:rsidRDefault="005107D8" w:rsidP="005107D8">
      <w:pPr>
        <w:pStyle w:val="Schedule2"/>
      </w:pPr>
      <w:r>
        <w:t>It is the responsibility of the line manager or equivalent to ensure that all time scales are adhered to, unless it is agreed by both parties that further time is required for investigation.</w:t>
      </w:r>
    </w:p>
    <w:p w14:paraId="417824C2" w14:textId="738D2A42" w:rsidR="005107D8" w:rsidRDefault="005107D8" w:rsidP="005107D8">
      <w:pPr>
        <w:pStyle w:val="Schedule2"/>
      </w:pPr>
      <w:r>
        <w:t xml:space="preserve">All records relating to the grievance hearing are to be kept confidential.  Copies are to be given to the Staff member; </w:t>
      </w:r>
      <w:proofErr w:type="gramStart"/>
      <w:r>
        <w:t>however</w:t>
      </w:r>
      <w:proofErr w:type="gramEnd"/>
      <w:r>
        <w:t xml:space="preserve"> in certain circumstances Sadeh may withhold information e.g. to protect a witness.  </w:t>
      </w:r>
    </w:p>
    <w:p w14:paraId="3926ED36" w14:textId="106390C2" w:rsidR="005107D8" w:rsidRDefault="005107D8" w:rsidP="005107D8">
      <w:pPr>
        <w:pStyle w:val="Schedule2"/>
      </w:pPr>
      <w:r>
        <w:t>Meeting notes and written correspondence relating to a grievance will be placed on the Staff member's personnel file or stored in an HR system.</w:t>
      </w:r>
    </w:p>
    <w:p w14:paraId="2566F614" w14:textId="77777777" w:rsidR="005107D8" w:rsidRDefault="005107D8" w:rsidP="005107D8">
      <w:pPr>
        <w:pStyle w:val="ScheduleLevelHeading1"/>
      </w:pPr>
      <w:bookmarkStart w:id="6" w:name="_Toc484593725"/>
      <w:r>
        <w:t>Process</w:t>
      </w:r>
      <w:bookmarkEnd w:id="6"/>
    </w:p>
    <w:p w14:paraId="79FB1F59" w14:textId="56B50FB2" w:rsidR="005107D8" w:rsidRDefault="005107D8" w:rsidP="005107D8">
      <w:pPr>
        <w:pStyle w:val="BodyText1"/>
      </w:pPr>
      <w:r w:rsidRPr="007D5ADE">
        <w:t>Most grievances can be resolved quickly and informally through discussion with your line manager</w:t>
      </w:r>
      <w:r>
        <w:t xml:space="preserve">.  </w:t>
      </w:r>
      <w:r w:rsidRPr="007D5ADE">
        <w:t xml:space="preserve">If this does not resolve the </w:t>
      </w:r>
      <w:proofErr w:type="gramStart"/>
      <w:r w:rsidRPr="007D5ADE">
        <w:t>problem</w:t>
      </w:r>
      <w:proofErr w:type="gramEnd"/>
      <w:r w:rsidRPr="007D5ADE">
        <w:t xml:space="preserve"> you should initiate the formal procedure set out below.</w:t>
      </w:r>
    </w:p>
    <w:p w14:paraId="31EEA17A" w14:textId="77777777" w:rsidR="005107D8" w:rsidRDefault="005107D8" w:rsidP="005107D8">
      <w:pPr>
        <w:pStyle w:val="ScheduleLevelHeading2"/>
        <w:keepNext/>
      </w:pPr>
      <w:r>
        <w:t>Standard procedure (for all Staff)</w:t>
      </w:r>
    </w:p>
    <w:p w14:paraId="2AB5A0CF" w14:textId="3C13EE75" w:rsidR="005107D8" w:rsidRDefault="005107D8" w:rsidP="005107D8">
      <w:pPr>
        <w:pStyle w:val="Bullet2"/>
        <w:tabs>
          <w:tab w:val="num" w:pos="1418"/>
        </w:tabs>
      </w:pPr>
      <w:r>
        <w:t xml:space="preserve">If it is not possible to resolve a grievance informally the grievance should be raised formally without delay to the line manager, or directly to a Board member. This should be done by letter setting out your grievance </w:t>
      </w:r>
      <w:r w:rsidRPr="007A42BE">
        <w:t>including any relevant facts, dates, and names of individuals involved so that we can investigate</w:t>
      </w:r>
      <w:r>
        <w:t xml:space="preserve">.  </w:t>
      </w:r>
    </w:p>
    <w:p w14:paraId="14E6F6B9" w14:textId="64CB26F4" w:rsidR="005107D8" w:rsidRDefault="005107D8" w:rsidP="005107D8">
      <w:pPr>
        <w:pStyle w:val="Bullet2"/>
        <w:tabs>
          <w:tab w:val="num" w:pos="1418"/>
        </w:tabs>
      </w:pPr>
      <w:r>
        <w:t>The Staff member will then be notified in writing, normally within 10 working days of Sadeh receiving the grievance, of a time and date for a hearing and who will be in attendance.  This meeting will allow the Staff member an opportunity to explain in full the matter giving them cause for concern.</w:t>
      </w:r>
    </w:p>
    <w:p w14:paraId="7B93E2A8" w14:textId="77777777" w:rsidR="005107D8" w:rsidRDefault="005107D8" w:rsidP="005107D8">
      <w:pPr>
        <w:pStyle w:val="Bullet2"/>
        <w:tabs>
          <w:tab w:val="num" w:pos="1418"/>
        </w:tabs>
      </w:pPr>
      <w:r>
        <w:t xml:space="preserve">If the Staff member is unable to attend the </w:t>
      </w:r>
      <w:proofErr w:type="gramStart"/>
      <w:r>
        <w:t>hearing</w:t>
      </w:r>
      <w:proofErr w:type="gramEnd"/>
      <w:r>
        <w:t xml:space="preserve"> they must explain the reason why and give an alternative date and time.  </w:t>
      </w:r>
      <w:proofErr w:type="gramStart"/>
      <w:r>
        <w:t>Generally</w:t>
      </w:r>
      <w:proofErr w:type="gramEnd"/>
      <w:r>
        <w:t xml:space="preserve"> this should fall within 5 working days of the original hearing date.</w:t>
      </w:r>
    </w:p>
    <w:p w14:paraId="736B43DC" w14:textId="77777777" w:rsidR="005107D8" w:rsidRDefault="005107D8" w:rsidP="005107D8">
      <w:pPr>
        <w:pStyle w:val="Bullet2"/>
        <w:tabs>
          <w:tab w:val="num" w:pos="1418"/>
        </w:tabs>
      </w:pPr>
      <w:r>
        <w:t>After the meeting (and investigation if appropriate) a formal written response will be issued, normally within 10 working days of the hearing, stating any agreed outcomes.  This letter will also include details of the Staff member's right of appeal if they remain unsatisfied with the response.</w:t>
      </w:r>
    </w:p>
    <w:p w14:paraId="7517406F" w14:textId="77777777" w:rsidR="005107D8" w:rsidRDefault="005107D8" w:rsidP="005107D8">
      <w:pPr>
        <w:pStyle w:val="ScheduleLevelHeading2"/>
        <w:keepNext/>
      </w:pPr>
      <w:r>
        <w:t>Appeal</w:t>
      </w:r>
    </w:p>
    <w:p w14:paraId="180FE9B9" w14:textId="77777777" w:rsidR="005107D8" w:rsidRDefault="005107D8" w:rsidP="005107D8">
      <w:pPr>
        <w:pStyle w:val="Bullet2"/>
        <w:tabs>
          <w:tab w:val="num" w:pos="1418"/>
        </w:tabs>
      </w:pPr>
      <w:r>
        <w:t>If the grievance has not been resolved, Staff may appeal by sending a written appeal letter outlining the ongoing concerns and requesting an appeal.  The appeal must be requested no later than 5 working days after</w:t>
      </w:r>
      <w:r w:rsidRPr="004A0210">
        <w:t xml:space="preserve"> the date on which the decision was sent or given to</w:t>
      </w:r>
      <w:r>
        <w:t xml:space="preserve"> the Staff member</w:t>
      </w:r>
      <w:r w:rsidRPr="004A0210">
        <w:t>.</w:t>
      </w:r>
    </w:p>
    <w:p w14:paraId="35861A60" w14:textId="7B774D32" w:rsidR="005107D8" w:rsidRDefault="005107D8" w:rsidP="005107D8">
      <w:pPr>
        <w:pStyle w:val="Bullet2"/>
        <w:tabs>
          <w:tab w:val="num" w:pos="1418"/>
        </w:tabs>
      </w:pPr>
      <w:r>
        <w:lastRenderedPageBreak/>
        <w:t xml:space="preserve">A meeting will then be arranged to discuss the grounds of the appeal.  Appeals will normally be held by the Chief Executive Officer, a Board member or some other suitably competent and trusted third party as determined by Sadeh, and a note taker.  </w:t>
      </w:r>
    </w:p>
    <w:p w14:paraId="74AEA93E" w14:textId="77777777" w:rsidR="005107D8" w:rsidRPr="00DD26AB" w:rsidRDefault="005107D8" w:rsidP="005107D8">
      <w:pPr>
        <w:pStyle w:val="Bullet2"/>
        <w:tabs>
          <w:tab w:val="num" w:pos="1418"/>
        </w:tabs>
      </w:pPr>
      <w:r>
        <w:t>After the meeting (and separate investigation if appropriate) a formal written response will be issued, normally within 10 working days of the meeting, stating the agreed outcome.  This decision will be the final decision.</w:t>
      </w:r>
    </w:p>
    <w:p w14:paraId="6B9F9D97" w14:textId="77777777" w:rsidR="005107D8" w:rsidRDefault="005107D8" w:rsidP="005107D8">
      <w:pPr>
        <w:pStyle w:val="ScheduleLevelHeading1"/>
      </w:pPr>
      <w:bookmarkStart w:id="7" w:name="_Toc484593726"/>
      <w:r>
        <w:t>Overlapping grievance and disciplinary cases</w:t>
      </w:r>
      <w:bookmarkEnd w:id="7"/>
    </w:p>
    <w:p w14:paraId="656DA39D" w14:textId="77777777" w:rsidR="005107D8" w:rsidRDefault="005107D8" w:rsidP="005107D8">
      <w:pPr>
        <w:pStyle w:val="BodyText1"/>
      </w:pPr>
      <w:r>
        <w:t xml:space="preserve">Where an employee Staff member raises a grievance during a disciplinary process the disciplinary process may be </w:t>
      </w:r>
      <w:proofErr w:type="gramStart"/>
      <w:r>
        <w:t>temporarily suspended</w:t>
      </w:r>
      <w:proofErr w:type="gramEnd"/>
      <w:r>
        <w:t xml:space="preserve"> in order to deal with the grievance.  Where the grievance and disciplinary cases are related it may be appropriate to deal with both issues concurrently.</w:t>
      </w:r>
    </w:p>
    <w:p w14:paraId="3A2A9E52" w14:textId="4C93DEE1" w:rsidR="005107D8" w:rsidRDefault="005107D8" w:rsidP="005107D8">
      <w:pPr>
        <w:pStyle w:val="Subtitleleft"/>
      </w:pPr>
      <w:r>
        <w:t>Sadeh reserves the right to amend this policy as required.</w:t>
      </w:r>
    </w:p>
    <w:p w14:paraId="100872EE" w14:textId="77777777" w:rsidR="005107D8" w:rsidRDefault="005107D8" w:rsidP="005107D8">
      <w:pPr>
        <w:spacing w:after="200"/>
      </w:pPr>
    </w:p>
    <w:p w14:paraId="2F2DBE59" w14:textId="77777777" w:rsidR="005107D8" w:rsidRPr="00D059A0" w:rsidRDefault="005107D8" w:rsidP="005107D8">
      <w:pPr>
        <w:pStyle w:val="BodyText"/>
      </w:pPr>
    </w:p>
    <w:p w14:paraId="103780D9" w14:textId="77777777" w:rsidR="008C5919" w:rsidRDefault="008C5919" w:rsidP="005107D8">
      <w:pPr>
        <w:pStyle w:val="ScheduleLevelHeading1"/>
        <w:numPr>
          <w:ilvl w:val="0"/>
          <w:numId w:val="0"/>
        </w:numPr>
        <w:ind w:left="709" w:hanging="709"/>
        <w:rPr>
          <w:sz w:val="19"/>
          <w:szCs w:val="19"/>
          <w:highlight w:val="white"/>
        </w:rPr>
      </w:pPr>
    </w:p>
    <w:sectPr w:rsidR="008C5919" w:rsidSect="00D34CEE">
      <w:headerReference w:type="default" r:id="rId8"/>
      <w:pgSz w:w="11907" w:h="16840"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CC5B" w14:textId="77777777" w:rsidR="00B02F71" w:rsidRDefault="00B02F71" w:rsidP="000E0E85">
      <w:pPr>
        <w:spacing w:line="240" w:lineRule="auto"/>
      </w:pPr>
      <w:r>
        <w:separator/>
      </w:r>
    </w:p>
  </w:endnote>
  <w:endnote w:type="continuationSeparator" w:id="0">
    <w:p w14:paraId="75014E6A" w14:textId="77777777" w:rsidR="00B02F71" w:rsidRDefault="00B02F71" w:rsidP="000E0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Blac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3ED1" w14:textId="77777777" w:rsidR="00B02F71" w:rsidRDefault="00B02F71" w:rsidP="000E0E85">
      <w:pPr>
        <w:spacing w:line="240" w:lineRule="auto"/>
      </w:pPr>
      <w:r>
        <w:separator/>
      </w:r>
    </w:p>
  </w:footnote>
  <w:footnote w:type="continuationSeparator" w:id="0">
    <w:p w14:paraId="33FDAE9E" w14:textId="77777777" w:rsidR="00B02F71" w:rsidRDefault="00B02F71" w:rsidP="000E0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3E12" w14:textId="5F2EFA9B" w:rsidR="007950D5" w:rsidRDefault="007950D5">
    <w:pPr>
      <w:pStyle w:val="Header"/>
    </w:pPr>
    <w:r>
      <w:rPr>
        <w:rFonts w:ascii="Montserrat Black" w:eastAsia="Montserrat Black" w:hAnsi="Montserrat Black" w:cs="Montserrat Black"/>
        <w:noProof/>
        <w:color w:val="274E13"/>
        <w:sz w:val="70"/>
        <w:szCs w:val="70"/>
      </w:rPr>
      <w:drawing>
        <wp:anchor distT="0" distB="0" distL="114300" distR="114300" simplePos="0" relativeHeight="251658752" behindDoc="0" locked="0" layoutInCell="1" allowOverlap="1" wp14:anchorId="2850EB65" wp14:editId="65F2BFB7">
          <wp:simplePos x="0" y="0"/>
          <wp:positionH relativeFrom="column">
            <wp:posOffset>4728210</wp:posOffset>
          </wp:positionH>
          <wp:positionV relativeFrom="paragraph">
            <wp:posOffset>-450215</wp:posOffset>
          </wp:positionV>
          <wp:extent cx="2220149" cy="885825"/>
          <wp:effectExtent l="0" t="0" r="889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24932" cy="887734"/>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246B" w14:textId="77777777" w:rsidR="00435978" w:rsidRDefault="00B0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3FC"/>
    <w:multiLevelType w:val="hybridMultilevel"/>
    <w:tmpl w:val="58205C9A"/>
    <w:lvl w:ilvl="0" w:tplc="67B04E40">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3FF"/>
    <w:multiLevelType w:val="hybridMultilevel"/>
    <w:tmpl w:val="AF8069C4"/>
    <w:lvl w:ilvl="0" w:tplc="F7FAE508">
      <w:start w:val="1"/>
      <w:numFmt w:val="lowerLetter"/>
      <w:pStyle w:val="Definition1"/>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5912E6"/>
    <w:multiLevelType w:val="multilevel"/>
    <w:tmpl w:val="07F0D61E"/>
    <w:lvl w:ilvl="0">
      <w:start w:val="1"/>
      <w:numFmt w:val="none"/>
      <w:pStyle w:val="RestartNumberingS1SLH1"/>
      <w:suff w:val="nothing"/>
      <w:lvlText w:val="%1"/>
      <w:lvlJc w:val="left"/>
      <w:pPr>
        <w:ind w:left="0" w:firstLine="0"/>
      </w:pPr>
      <w:rPr>
        <w:rFonts w:hint="default"/>
        <w:b w:val="0"/>
        <w:i w:val="0"/>
      </w:rPr>
    </w:lvl>
    <w:lvl w:ilvl="1">
      <w:start w:val="1"/>
      <w:numFmt w:val="none"/>
      <w:lvlRestart w:val="0"/>
      <w:pStyle w:val="Scheduleheading"/>
      <w:suff w:val="nothing"/>
      <w:lvlText w:val="%1"/>
      <w:lvlJc w:val="center"/>
      <w:pPr>
        <w:ind w:left="0" w:firstLine="0"/>
      </w:pPr>
      <w:rPr>
        <w:rFonts w:hint="default"/>
        <w:b w:val="0"/>
        <w:i w:val="0"/>
      </w:rPr>
    </w:lvl>
    <w:lvl w:ilvl="2">
      <w:start w:val="1"/>
      <w:numFmt w:val="none"/>
      <w:lvlRestart w:val="0"/>
      <w:pStyle w:val="Schedulepart"/>
      <w:suff w:val="nothing"/>
      <w:lvlText w:val=""/>
      <w:lvlJc w:val="left"/>
      <w:pPr>
        <w:ind w:left="0" w:firstLine="0"/>
      </w:pPr>
      <w:rPr>
        <w:rFonts w:hint="default"/>
        <w:b w:val="0"/>
        <w:i w:val="0"/>
      </w:rPr>
    </w:lvl>
    <w:lvl w:ilvl="3">
      <w:start w:val="1"/>
      <w:numFmt w:val="decimal"/>
      <w:lvlRestart w:val="2"/>
      <w:pStyle w:val="Schedule1"/>
      <w:lvlText w:val="%4."/>
      <w:lvlJc w:val="left"/>
      <w:pPr>
        <w:tabs>
          <w:tab w:val="num" w:pos="709"/>
        </w:tabs>
        <w:ind w:left="709" w:hanging="709"/>
      </w:pPr>
      <w:rPr>
        <w:rFonts w:hint="default"/>
        <w:b w:val="0"/>
        <w:i w:val="0"/>
      </w:rPr>
    </w:lvl>
    <w:lvl w:ilvl="4">
      <w:start w:val="1"/>
      <w:numFmt w:val="decimal"/>
      <w:pStyle w:val="Schedule2"/>
      <w:lvlText w:val="%4.%5"/>
      <w:lvlJc w:val="left"/>
      <w:pPr>
        <w:tabs>
          <w:tab w:val="num" w:pos="709"/>
        </w:tabs>
        <w:ind w:left="709" w:hanging="709"/>
      </w:pPr>
      <w:rPr>
        <w:rFonts w:hint="default"/>
        <w:b w:val="0"/>
        <w:i w:val="0"/>
      </w:rPr>
    </w:lvl>
    <w:lvl w:ilvl="5">
      <w:start w:val="1"/>
      <w:numFmt w:val="decimal"/>
      <w:pStyle w:val="Schedule3"/>
      <w:lvlText w:val="%4.%5.%6"/>
      <w:lvlJc w:val="left"/>
      <w:pPr>
        <w:tabs>
          <w:tab w:val="num" w:pos="1418"/>
        </w:tabs>
        <w:ind w:left="1418" w:hanging="709"/>
      </w:pPr>
      <w:rPr>
        <w:rFonts w:hint="default"/>
      </w:rPr>
    </w:lvl>
    <w:lvl w:ilvl="6">
      <w:start w:val="1"/>
      <w:numFmt w:val="lowerLetter"/>
      <w:pStyle w:val="Schedule4"/>
      <w:lvlText w:val="(%7)"/>
      <w:lvlJc w:val="left"/>
      <w:pPr>
        <w:tabs>
          <w:tab w:val="num" w:pos="2126"/>
        </w:tabs>
        <w:ind w:left="2126" w:hanging="708"/>
      </w:pPr>
      <w:rPr>
        <w:rFonts w:hint="default"/>
      </w:rPr>
    </w:lvl>
    <w:lvl w:ilvl="7">
      <w:start w:val="1"/>
      <w:numFmt w:val="lowerRoman"/>
      <w:pStyle w:val="Schedule5"/>
      <w:lvlText w:val="(%8%1)"/>
      <w:lvlJc w:val="left"/>
      <w:pPr>
        <w:tabs>
          <w:tab w:val="num" w:pos="2835"/>
        </w:tabs>
        <w:ind w:left="2835" w:hanging="709"/>
      </w:pPr>
      <w:rPr>
        <w:rFonts w:hint="default"/>
      </w:rPr>
    </w:lvl>
    <w:lvl w:ilvl="8">
      <w:start w:val="1"/>
      <w:numFmt w:val="upperLetter"/>
      <w:pStyle w:val="Schedule6"/>
      <w:lvlText w:val="%1(%9)"/>
      <w:lvlJc w:val="left"/>
      <w:pPr>
        <w:tabs>
          <w:tab w:val="num" w:pos="3544"/>
        </w:tabs>
        <w:ind w:left="3544" w:hanging="70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33AA"/>
    <w:rsid w:val="000E0E85"/>
    <w:rsid w:val="001C4236"/>
    <w:rsid w:val="0022750F"/>
    <w:rsid w:val="005107D8"/>
    <w:rsid w:val="00677D8F"/>
    <w:rsid w:val="007950D5"/>
    <w:rsid w:val="008C5919"/>
    <w:rsid w:val="00A45334"/>
    <w:rsid w:val="00B02F71"/>
    <w:rsid w:val="00BC3F65"/>
    <w:rsid w:val="00C17C63"/>
    <w:rsid w:val="00D1439B"/>
    <w:rsid w:val="00DE6072"/>
    <w:rsid w:val="00F1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A0E2"/>
  <w15:docId w15:val="{44E907B9-0BAA-49E5-A85E-BFB6DD7A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Text1">
    <w:name w:val="Body Text 1"/>
    <w:basedOn w:val="BodyText"/>
    <w:qFormat/>
    <w:rsid w:val="000E0E85"/>
    <w:pPr>
      <w:ind w:left="709"/>
    </w:pPr>
  </w:style>
  <w:style w:type="paragraph" w:styleId="BodyText">
    <w:name w:val="Body Text"/>
    <w:basedOn w:val="Normal"/>
    <w:link w:val="BodyTextChar"/>
    <w:qFormat/>
    <w:rsid w:val="000E0E85"/>
    <w:pPr>
      <w:spacing w:after="240" w:line="240" w:lineRule="auto"/>
      <w:jc w:val="both"/>
    </w:pPr>
    <w:rPr>
      <w:rFonts w:eastAsia="Times New Roman" w:cs="Times New Roman"/>
      <w:szCs w:val="24"/>
      <w:lang w:val="en-GB" w:eastAsia="en-US"/>
    </w:rPr>
  </w:style>
  <w:style w:type="character" w:customStyle="1" w:styleId="BodyTextChar">
    <w:name w:val="Body Text Char"/>
    <w:basedOn w:val="DefaultParagraphFont"/>
    <w:link w:val="BodyText"/>
    <w:rsid w:val="000E0E85"/>
    <w:rPr>
      <w:rFonts w:eastAsia="Times New Roman" w:cs="Times New Roman"/>
      <w:szCs w:val="24"/>
      <w:lang w:val="en-GB" w:eastAsia="en-US"/>
    </w:rPr>
  </w:style>
  <w:style w:type="paragraph" w:customStyle="1" w:styleId="Bullet">
    <w:name w:val="Bullet"/>
    <w:basedOn w:val="BodyText"/>
    <w:qFormat/>
    <w:rsid w:val="000E0E85"/>
    <w:pPr>
      <w:numPr>
        <w:numId w:val="1"/>
      </w:numPr>
    </w:pPr>
  </w:style>
  <w:style w:type="paragraph" w:customStyle="1" w:styleId="Bullet1">
    <w:name w:val="Bullet 1"/>
    <w:basedOn w:val="Bullet"/>
    <w:qFormat/>
    <w:rsid w:val="000E0E85"/>
    <w:pPr>
      <w:tabs>
        <w:tab w:val="clear" w:pos="709"/>
      </w:tabs>
      <w:ind w:left="1418"/>
    </w:pPr>
  </w:style>
  <w:style w:type="paragraph" w:customStyle="1" w:styleId="Bullet2">
    <w:name w:val="Bullet 2"/>
    <w:basedOn w:val="Bullet1"/>
    <w:qFormat/>
    <w:rsid w:val="000E0E85"/>
  </w:style>
  <w:style w:type="paragraph" w:customStyle="1" w:styleId="Bullet3">
    <w:name w:val="Bullet 3"/>
    <w:basedOn w:val="Bullet1"/>
    <w:qFormat/>
    <w:rsid w:val="000E0E85"/>
    <w:pPr>
      <w:ind w:left="2127"/>
    </w:pPr>
  </w:style>
  <w:style w:type="paragraph" w:customStyle="1" w:styleId="Subtitleleft">
    <w:name w:val="Sub title left"/>
    <w:basedOn w:val="BodyText"/>
    <w:next w:val="BodyText"/>
    <w:qFormat/>
    <w:rsid w:val="000E0E85"/>
    <w:pPr>
      <w:keepNext/>
      <w:jc w:val="left"/>
    </w:pPr>
    <w:rPr>
      <w:b/>
    </w:rPr>
  </w:style>
  <w:style w:type="paragraph" w:customStyle="1" w:styleId="Schedule1">
    <w:name w:val="Schedule 1"/>
    <w:basedOn w:val="BodyText"/>
    <w:next w:val="BodyText1"/>
    <w:qFormat/>
    <w:rsid w:val="000E0E85"/>
    <w:pPr>
      <w:numPr>
        <w:ilvl w:val="3"/>
        <w:numId w:val="2"/>
      </w:numPr>
    </w:pPr>
  </w:style>
  <w:style w:type="paragraph" w:customStyle="1" w:styleId="Schedule2">
    <w:name w:val="Schedule 2"/>
    <w:basedOn w:val="BodyText"/>
    <w:next w:val="BodyText2"/>
    <w:qFormat/>
    <w:rsid w:val="000E0E85"/>
    <w:pPr>
      <w:numPr>
        <w:ilvl w:val="4"/>
        <w:numId w:val="2"/>
      </w:numPr>
    </w:pPr>
  </w:style>
  <w:style w:type="paragraph" w:customStyle="1" w:styleId="Schedule3">
    <w:name w:val="Schedule 3"/>
    <w:basedOn w:val="BodyText"/>
    <w:next w:val="BodyText3"/>
    <w:qFormat/>
    <w:rsid w:val="000E0E85"/>
    <w:pPr>
      <w:numPr>
        <w:ilvl w:val="5"/>
        <w:numId w:val="2"/>
      </w:numPr>
    </w:pPr>
  </w:style>
  <w:style w:type="paragraph" w:customStyle="1" w:styleId="Schedule4">
    <w:name w:val="Schedule 4"/>
    <w:basedOn w:val="BodyText"/>
    <w:next w:val="Normal"/>
    <w:qFormat/>
    <w:rsid w:val="000E0E85"/>
    <w:pPr>
      <w:numPr>
        <w:ilvl w:val="6"/>
        <w:numId w:val="2"/>
      </w:numPr>
    </w:pPr>
  </w:style>
  <w:style w:type="paragraph" w:customStyle="1" w:styleId="Schedule5">
    <w:name w:val="Schedule 5"/>
    <w:basedOn w:val="BodyText"/>
    <w:next w:val="Normal"/>
    <w:qFormat/>
    <w:rsid w:val="000E0E85"/>
    <w:pPr>
      <w:numPr>
        <w:ilvl w:val="7"/>
        <w:numId w:val="2"/>
      </w:numPr>
    </w:pPr>
  </w:style>
  <w:style w:type="paragraph" w:customStyle="1" w:styleId="Schedule6">
    <w:name w:val="Schedule 6"/>
    <w:basedOn w:val="BodyText"/>
    <w:next w:val="Normal"/>
    <w:qFormat/>
    <w:rsid w:val="000E0E85"/>
    <w:pPr>
      <w:numPr>
        <w:ilvl w:val="8"/>
        <w:numId w:val="2"/>
      </w:numPr>
    </w:pPr>
  </w:style>
  <w:style w:type="paragraph" w:customStyle="1" w:styleId="Scheduleheading">
    <w:name w:val="Schedule heading"/>
    <w:basedOn w:val="BodyText"/>
    <w:next w:val="Schedulepart"/>
    <w:qFormat/>
    <w:rsid w:val="000E0E85"/>
    <w:pPr>
      <w:pageBreakBefore/>
      <w:numPr>
        <w:ilvl w:val="1"/>
        <w:numId w:val="2"/>
      </w:numPr>
      <w:jc w:val="center"/>
    </w:pPr>
    <w:rPr>
      <w:b/>
      <w:caps/>
    </w:rPr>
  </w:style>
  <w:style w:type="paragraph" w:customStyle="1" w:styleId="Schedulepart">
    <w:name w:val="Schedule part"/>
    <w:basedOn w:val="BodyText"/>
    <w:next w:val="Schedule1"/>
    <w:qFormat/>
    <w:rsid w:val="000E0E85"/>
    <w:pPr>
      <w:numPr>
        <w:ilvl w:val="2"/>
        <w:numId w:val="2"/>
      </w:numPr>
      <w:jc w:val="left"/>
    </w:pPr>
    <w:rPr>
      <w:b/>
    </w:rPr>
  </w:style>
  <w:style w:type="character" w:customStyle="1" w:styleId="Definitionterm">
    <w:name w:val="Definition term"/>
    <w:basedOn w:val="DefaultParagraphFont"/>
    <w:qFormat/>
    <w:rsid w:val="000E0E85"/>
    <w:rPr>
      <w:rFonts w:ascii="Arial" w:hAnsi="Arial"/>
      <w:b/>
      <w:color w:val="000000"/>
      <w:sz w:val="22"/>
    </w:rPr>
  </w:style>
  <w:style w:type="table" w:styleId="TableGrid">
    <w:name w:val="Table Grid"/>
    <w:basedOn w:val="TableNormal"/>
    <w:rsid w:val="000E0E85"/>
    <w:pPr>
      <w:spacing w:line="240" w:lineRule="auto"/>
    </w:pPr>
    <w:rPr>
      <w:rFonts w:eastAsia="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E0E85"/>
    <w:pPr>
      <w:spacing w:before="60" w:after="60" w:line="240" w:lineRule="auto"/>
      <w:jc w:val="both"/>
    </w:pPr>
    <w:rPr>
      <w:rFonts w:eastAsia="Times New Roman" w:cs="Times New Roman"/>
      <w:szCs w:val="20"/>
      <w:lang w:val="en-GB" w:eastAsia="en-US"/>
    </w:rPr>
  </w:style>
  <w:style w:type="paragraph" w:styleId="Header">
    <w:name w:val="header"/>
    <w:basedOn w:val="Normal"/>
    <w:link w:val="HeaderChar"/>
    <w:semiHidden/>
    <w:rsid w:val="000E0E85"/>
    <w:pPr>
      <w:tabs>
        <w:tab w:val="center" w:pos="4153"/>
        <w:tab w:val="right" w:pos="8306"/>
      </w:tabs>
      <w:spacing w:line="240" w:lineRule="auto"/>
    </w:pPr>
    <w:rPr>
      <w:rFonts w:eastAsia="Times New Roman" w:cs="Times New Roman"/>
      <w:szCs w:val="24"/>
      <w:lang w:val="en-GB" w:eastAsia="en-US"/>
    </w:rPr>
  </w:style>
  <w:style w:type="character" w:customStyle="1" w:styleId="HeaderChar">
    <w:name w:val="Header Char"/>
    <w:basedOn w:val="DefaultParagraphFont"/>
    <w:link w:val="Header"/>
    <w:semiHidden/>
    <w:rsid w:val="000E0E85"/>
    <w:rPr>
      <w:rFonts w:eastAsia="Times New Roman" w:cs="Times New Roman"/>
      <w:szCs w:val="24"/>
      <w:lang w:val="en-GB" w:eastAsia="en-US"/>
    </w:rPr>
  </w:style>
  <w:style w:type="paragraph" w:styleId="BodyText2">
    <w:name w:val="Body Text 2"/>
    <w:basedOn w:val="BodyText"/>
    <w:link w:val="BodyText2Char"/>
    <w:qFormat/>
    <w:rsid w:val="000E0E85"/>
    <w:pPr>
      <w:ind w:left="709"/>
    </w:pPr>
  </w:style>
  <w:style w:type="character" w:customStyle="1" w:styleId="BodyText2Char">
    <w:name w:val="Body Text 2 Char"/>
    <w:basedOn w:val="DefaultParagraphFont"/>
    <w:link w:val="BodyText2"/>
    <w:rsid w:val="000E0E85"/>
    <w:rPr>
      <w:rFonts w:eastAsia="Times New Roman" w:cs="Times New Roman"/>
      <w:szCs w:val="24"/>
      <w:lang w:val="en-GB" w:eastAsia="en-US"/>
    </w:rPr>
  </w:style>
  <w:style w:type="paragraph" w:customStyle="1" w:styleId="ScheduleLevelHeading1">
    <w:name w:val="Schedule Level Heading 1"/>
    <w:basedOn w:val="Schedule1"/>
    <w:next w:val="BodyText1"/>
    <w:qFormat/>
    <w:rsid w:val="000E0E85"/>
    <w:pPr>
      <w:keepNext/>
    </w:pPr>
    <w:rPr>
      <w:b/>
      <w:caps/>
    </w:rPr>
  </w:style>
  <w:style w:type="paragraph" w:customStyle="1" w:styleId="ScheduleLevelHeading2">
    <w:name w:val="Schedule Level Heading 2"/>
    <w:basedOn w:val="Schedule2"/>
    <w:next w:val="BodyText2"/>
    <w:qFormat/>
    <w:rsid w:val="000E0E85"/>
    <w:rPr>
      <w:b/>
    </w:rPr>
  </w:style>
  <w:style w:type="paragraph" w:customStyle="1" w:styleId="RestartNumberingS1SLH1">
    <w:name w:val="Restart Numbering (S1 &amp; SLH1)"/>
    <w:basedOn w:val="BodyText"/>
    <w:semiHidden/>
    <w:rsid w:val="000E0E85"/>
    <w:pPr>
      <w:numPr>
        <w:numId w:val="2"/>
      </w:numPr>
    </w:pPr>
    <w:rPr>
      <w:sz w:val="24"/>
    </w:rPr>
  </w:style>
  <w:style w:type="paragraph" w:customStyle="1" w:styleId="ScheduleheadingMillnet">
    <w:name w:val="Schedule heading Millnet"/>
    <w:basedOn w:val="BodyText"/>
    <w:next w:val="Schedulepart"/>
    <w:qFormat/>
    <w:rsid w:val="000E0E85"/>
    <w:pPr>
      <w:pageBreakBefore/>
      <w:jc w:val="center"/>
    </w:pPr>
    <w:rPr>
      <w:b/>
      <w:color w:val="FFFFFF" w:themeColor="background1"/>
      <w:sz w:val="36"/>
    </w:rPr>
  </w:style>
  <w:style w:type="paragraph" w:customStyle="1" w:styleId="Pageheading">
    <w:name w:val="Page heading"/>
    <w:basedOn w:val="Normal"/>
    <w:qFormat/>
    <w:rsid w:val="000E0E85"/>
    <w:pPr>
      <w:pageBreakBefore/>
      <w:tabs>
        <w:tab w:val="right" w:pos="8471"/>
      </w:tabs>
      <w:spacing w:before="120" w:after="120" w:line="240" w:lineRule="auto"/>
      <w:jc w:val="center"/>
    </w:pPr>
    <w:rPr>
      <w:rFonts w:ascii="Arial Bold" w:eastAsia="Times New Roman" w:hAnsi="Arial Bold" w:cs="Times New Roman"/>
      <w:b/>
      <w:caps/>
      <w:szCs w:val="24"/>
      <w:lang w:val="en-US" w:eastAsia="en-US"/>
    </w:rPr>
  </w:style>
  <w:style w:type="paragraph" w:styleId="FootnoteText">
    <w:name w:val="footnote text"/>
    <w:basedOn w:val="Normal"/>
    <w:link w:val="FootnoteTextChar"/>
    <w:uiPriority w:val="99"/>
    <w:semiHidden/>
    <w:unhideWhenUsed/>
    <w:rsid w:val="000E0E85"/>
    <w:pPr>
      <w:spacing w:line="240" w:lineRule="auto"/>
    </w:pPr>
    <w:rPr>
      <w:rFonts w:eastAsia="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0E0E85"/>
    <w:rPr>
      <w:rFonts w:eastAsia="Times New Roman" w:cs="Times New Roman"/>
      <w:sz w:val="20"/>
      <w:szCs w:val="20"/>
      <w:lang w:val="en-GB" w:eastAsia="en-US"/>
    </w:rPr>
  </w:style>
  <w:style w:type="character" w:styleId="FootnoteReference">
    <w:name w:val="footnote reference"/>
    <w:basedOn w:val="DefaultParagraphFont"/>
    <w:uiPriority w:val="99"/>
    <w:semiHidden/>
    <w:unhideWhenUsed/>
    <w:rsid w:val="000E0E85"/>
    <w:rPr>
      <w:vertAlign w:val="superscript"/>
    </w:rPr>
  </w:style>
  <w:style w:type="paragraph" w:customStyle="1" w:styleId="Bodycalibri11Millnet">
    <w:name w:val="Body calibri 11 Millnet"/>
    <w:basedOn w:val="Normal"/>
    <w:qFormat/>
    <w:rsid w:val="000E0E85"/>
    <w:pPr>
      <w:spacing w:line="240" w:lineRule="auto"/>
    </w:pPr>
    <w:rPr>
      <w:rFonts w:asciiTheme="minorHAnsi" w:eastAsia="Times New Roman" w:hAnsiTheme="minorHAnsi" w:cstheme="minorHAnsi"/>
      <w:szCs w:val="24"/>
      <w:lang w:val="en-GB" w:eastAsia="en-US"/>
    </w:rPr>
  </w:style>
  <w:style w:type="paragraph" w:styleId="BodyText3">
    <w:name w:val="Body Text 3"/>
    <w:basedOn w:val="Normal"/>
    <w:link w:val="BodyText3Char"/>
    <w:uiPriority w:val="99"/>
    <w:semiHidden/>
    <w:unhideWhenUsed/>
    <w:rsid w:val="000E0E85"/>
    <w:pPr>
      <w:spacing w:after="120"/>
    </w:pPr>
    <w:rPr>
      <w:sz w:val="16"/>
      <w:szCs w:val="16"/>
    </w:rPr>
  </w:style>
  <w:style w:type="character" w:customStyle="1" w:styleId="BodyText3Char">
    <w:name w:val="Body Text 3 Char"/>
    <w:basedOn w:val="DefaultParagraphFont"/>
    <w:link w:val="BodyText3"/>
    <w:uiPriority w:val="99"/>
    <w:semiHidden/>
    <w:rsid w:val="000E0E85"/>
    <w:rPr>
      <w:sz w:val="16"/>
      <w:szCs w:val="16"/>
    </w:rPr>
  </w:style>
  <w:style w:type="paragraph" w:styleId="Footer">
    <w:name w:val="footer"/>
    <w:basedOn w:val="Normal"/>
    <w:link w:val="FooterChar"/>
    <w:uiPriority w:val="99"/>
    <w:unhideWhenUsed/>
    <w:rsid w:val="007950D5"/>
    <w:pPr>
      <w:tabs>
        <w:tab w:val="center" w:pos="4513"/>
        <w:tab w:val="right" w:pos="9026"/>
      </w:tabs>
      <w:spacing w:line="240" w:lineRule="auto"/>
    </w:pPr>
  </w:style>
  <w:style w:type="character" w:customStyle="1" w:styleId="FooterChar">
    <w:name w:val="Footer Char"/>
    <w:basedOn w:val="DefaultParagraphFont"/>
    <w:link w:val="Footer"/>
    <w:uiPriority w:val="99"/>
    <w:rsid w:val="007950D5"/>
  </w:style>
  <w:style w:type="paragraph" w:customStyle="1" w:styleId="Definition1">
    <w:name w:val="Definition 1"/>
    <w:basedOn w:val="BodyText2"/>
    <w:qFormat/>
    <w:rsid w:val="005107D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McSweeney</cp:lastModifiedBy>
  <cp:revision>4</cp:revision>
  <dcterms:created xsi:type="dcterms:W3CDTF">2018-11-27T19:04:00Z</dcterms:created>
  <dcterms:modified xsi:type="dcterms:W3CDTF">2018-11-28T15:49:00Z</dcterms:modified>
</cp:coreProperties>
</file>